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Policy per l’uso dell’AI: </w:t>
      </w:r>
      <w:r>
        <w:rPr>
          <w:color w:val="2650C8"/>
          <w:highlight w:val="yellow"/>
        </w:rPr>
        <w:t xml:space="preserve">[Nome della società]</w:t>
      </w:r>
    </w:p>
    <w:p>
      <w:pPr>
        <w:spacing w:after="120"/>
      </w:pPr>
      <w:r>
        <w:rPr>
          <w:b/>
          <w:bCs/>
        </w:rPr>
        <w:t xml:space="preserve">Versione:</w:t>
      </w:r>
      <w:r>
        <w:t xml:space="preserve"> </w:t>
      </w:r>
      <w:r>
        <w:rPr>
          <w:color w:val="2650C8"/>
          <w:highlight w:val="yellow"/>
        </w:rPr>
        <w:t xml:space="preserve">[1.0]</w:t>
      </w:r>
    </w:p>
    <w:p>
      <w:pPr>
        <w:spacing w:after="120"/>
      </w:pPr>
      <w:r>
        <w:rPr>
          <w:b/>
          <w:bCs/>
        </w:rPr>
        <w:t xml:space="preserve">Approvata da:</w:t>
      </w:r>
      <w:r>
        <w:t xml:space="preserve"> </w:t>
      </w:r>
      <w:r>
        <w:rPr>
          <w:color w:val="2650C8"/>
          <w:highlight w:val="yellow"/>
        </w:rPr>
        <w:t xml:space="preserve">[Nome e ruolo del dirigente responsabile]</w:t>
      </w:r>
    </w:p>
    <w:p>
      <w:pPr>
        <w:spacing w:after="120"/>
      </w:pPr>
      <w:r>
        <w:rPr>
          <w:b/>
          <w:bCs/>
        </w:rPr>
        <w:t xml:space="preserve">Data di approvazione:</w:t>
      </w:r>
      <w:r>
        <w:t xml:space="preserve"> </w:t>
      </w:r>
      <w:r>
        <w:rPr>
          <w:color w:val="2650C8"/>
          <w:highlight w:val="yellow"/>
        </w:rPr>
        <w:t xml:space="preserve">[data]</w:t>
      </w:r>
    </w:p>
    <w:p>
      <w:pPr>
        <w:spacing w:after="120"/>
      </w:pPr>
      <w:r>
        <w:rPr>
          <w:b/>
          <w:bCs/>
        </w:rPr>
        <w:t xml:space="preserve">Prossima revisione:</w:t>
      </w:r>
      <w:r>
        <w:t xml:space="preserve"> </w:t>
      </w:r>
      <w:r>
        <w:rPr>
          <w:color w:val="2650C8"/>
          <w:highlight w:val="yellow"/>
        </w:rPr>
        <w:t xml:space="preserve">[data, entro 12 mesi dall’approvazione]</w:t>
      </w:r>
    </w:p>
    <w:p>
      <w:pPr>
        <w:spacing w:after="120"/>
      </w:pPr>
      <w:r>
        <w:rPr>
          <w:b/>
          <w:bCs/>
        </w:rPr>
        <w:t xml:space="preserve">Responsabile della policy:</w:t>
      </w:r>
      <w:r>
        <w:t xml:space="preserve"> </w:t>
      </w:r>
      <w:r>
        <w:rPr>
          <w:color w:val="2650C8"/>
          <w:highlight w:val="yellow"/>
        </w:rPr>
        <w:t xml:space="preserve">[Nome e ruolo del responsabile AI]</w:t>
      </w:r>
    </w:p>
    <w:p>
      <w:pPr>
        <w:pStyle w:val="Heading1"/>
      </w:pPr>
      <w:r>
        <w:t xml:space="preserve">Come usare questo modello</w:t>
      </w:r>
    </w:p>
    <w:p>
      <w:pPr>
        <w:spacing w:after="120"/>
      </w:pPr>
      <w:r>
        <w:t xml:space="preserve">Questo modello è un punto di partenza per un’azienda italiana di circa 50–500 persone. Sostituite tutto ciò che è tra </w:t>
      </w:r>
      <w:r>
        <w:rPr>
          <w:color w:val="2650C8"/>
          <w:highlight w:val="yellow"/>
        </w:rPr>
        <w:t xml:space="preserve">[parentesi quadre]</w:t>
      </w:r>
      <w:r>
        <w:t xml:space="preserve"> con i vostri dati, eliminate gli esempi che non fanno al caso vostro e aggiungete ciò che è specifico del vostro settore o dei vostri clienti. Tenetelo breve: una policy che le persone leggono vale più di una lunga che nessuno apre.</w:t>
      </w:r>
    </w:p>
    <w:p>
      <w:pPr>
        <w:spacing w:after="120"/>
      </w:pPr>
      <w:r>
        <w:t xml:space="preserve">Il modello traduce in regole pratiche gli obblighi del regolamento (UE) 2024/1689 sull’intelligenza artificiale (AI Act), come modificato dal regolamento (UE) 2026/1744, del regolamento (UE) 2016/679 (GDPR), della legge 23 settembre 2025, n. 132 e dei decreti legislativi n. 160 e n. 179 del 2026. Affianca le vostre policy esistenti (privacy, sicurezza informatica, Modello 231, codice etico e codice disciplinare), non le sostituisce. Riflette le norme in vigore a ottobre 2026: verificate eventuali aggiornamenti prima di adottarlo.</w:t>
      </w:r>
    </w:p>
    <w:p>
      <w:pPr>
        <w:spacing w:after="120"/>
      </w:pPr>
      <w:r>
        <w:t xml:space="preserve">Questo modello è un’informazione di carattere generale, non una consulenza legale. Adattatelo con i vostri consulenti legali, il DPO, il consulente del lavoro e i responsabili della sicurezza prima di adottarlo.</w:t>
      </w:r>
    </w:p>
    <w:p>
      <w:pPr>
        <w:spacing w:after="120"/>
      </w:pPr>
      <w:r>
        <w:t xml:space="preserve">Eliminate questa sezione prima di pubblicare la policy.</w:t>
      </w:r>
    </w:p>
    <w:p>
      <w:pPr>
        <w:pStyle w:val="Heading1"/>
      </w:pPr>
      <w:r>
        <w:t xml:space="preserve">1. Scopo e ambito</w:t>
      </w:r>
    </w:p>
    <w:p>
      <w:pPr>
        <w:spacing w:after="120"/>
      </w:pPr>
      <w:r>
        <w:t xml:space="preserve">1.1 </w:t>
      </w:r>
      <w:r>
        <w:rPr>
          <w:color w:val="2650C8"/>
          <w:highlight w:val="yellow"/>
        </w:rPr>
        <w:t xml:space="preserve">[Nome della società]</w:t>
      </w:r>
      <w:r>
        <w:t xml:space="preserve"> usa l’intelligenza artificiale (AI) per lavorare in modo più efficiente e servire meglio i propri clienti. Questa policy stabilisce come farlo in modo sicuro, lecito e tale da meritare la fiducia di clienti, dipendenti e partner.</w:t>
      </w:r>
    </w:p>
    <w:p>
      <w:pPr>
        <w:spacing w:after="120"/>
      </w:pPr>
      <w:r>
        <w:t xml:space="preserve">1.2 In questa policy, “strumento di AI” indica qualsiasi software che genera, riassume, analizza, prevede o raccomanda contenuti o decisioni usando l’AI, compresi i sistemi di IA definiti dall’articolo 3 dell’AI Act. Rientrano i chatbot e gli assistenti per scrittura, immagini, trascrizione e codice; le funzioni di AI integrate nel software già in uso, come </w:t>
      </w:r>
      <w:r>
        <w:rPr>
          <w:color w:val="2650C8"/>
          <w:highlight w:val="yellow"/>
        </w:rPr>
        <w:t xml:space="preserve">[posta elettronica, CRM o piattaforme HR]</w:t>
      </w:r>
      <w:r>
        <w:t xml:space="preserve">; e gli agenti e le automazioni di AI che compiono azioni nei nostri sistemi.</w:t>
      </w:r>
    </w:p>
    <w:p>
      <w:pPr>
        <w:spacing w:after="120"/>
      </w:pPr>
      <w:r>
        <w:t xml:space="preserve">1.3 La policy si applica all’uso di strumenti di AI per qualsiasi attività di </w:t>
      </w:r>
      <w:r>
        <w:rPr>
          <w:color w:val="2650C8"/>
          <w:highlight w:val="yellow"/>
        </w:rPr>
        <w:t xml:space="preserve">[Nome della società]</w:t>
      </w:r>
      <w:r>
        <w:t xml:space="preserve">, su qualsiasi dispositivo, che lo strumento sia fornito dall’azienda o no. Quando si usa l’AI restano validi </w:t>
      </w:r>
      <w:r>
        <w:rPr>
          <w:color w:val="2650C8"/>
          <w:highlight w:val="yellow"/>
        </w:rPr>
        <w:t xml:space="preserve">[Policy privacy]</w:t>
      </w:r>
      <w:r>
        <w:t xml:space="preserve">, </w:t>
      </w:r>
      <w:r>
        <w:rPr>
          <w:color w:val="2650C8"/>
          <w:highlight w:val="yellow"/>
        </w:rPr>
        <w:t xml:space="preserve">[Regolamento per l’uso degli strumenti informatici]</w:t>
      </w:r>
      <w:r>
        <w:t xml:space="preserve">, </w:t>
      </w:r>
      <w:r>
        <w:rPr>
          <w:color w:val="2650C8"/>
          <w:highlight w:val="yellow"/>
        </w:rPr>
        <w:t xml:space="preserve">[Codice etico]</w:t>
      </w:r>
      <w:r>
        <w:t xml:space="preserve">, </w:t>
      </w:r>
      <w:r>
        <w:rPr>
          <w:color w:val="2650C8"/>
          <w:highlight w:val="yellow"/>
        </w:rPr>
        <w:t xml:space="preserve">[Modello di organizzazione, gestione e controllo ex d.lgs. 231/2001]</w:t>
      </w:r>
      <w:r>
        <w:t xml:space="preserve"> e </w:t>
      </w:r>
      <w:r>
        <w:rPr>
          <w:color w:val="2650C8"/>
          <w:highlight w:val="yellow"/>
        </w:rPr>
        <w:t xml:space="preserve">[Policy di gestione documentale]</w:t>
      </w:r>
      <w:r>
        <w:t xml:space="preserve">.</w:t>
      </w:r>
    </w:p>
    <w:p>
      <w:pPr>
        <w:spacing w:after="120"/>
      </w:pPr>
      <w:r>
        <w:t xml:space="preserve">1.4 Nella maggior parte dei casi </w:t>
      </w:r>
      <w:r>
        <w:rPr>
          <w:color w:val="2650C8"/>
          <w:highlight w:val="yellow"/>
        </w:rPr>
        <w:t xml:space="preserve">[Nome della società]</w:t>
      </w:r>
      <w:r>
        <w:t xml:space="preserve"> è un “deployer” ai sensi dell’AI Act: utilizza sotto la propria autorità sistemi di AI sviluppati da altri. Se sviluppiamo un sistema di AI, lo immettiamo sul mercato con il nostro nome o modifichiamo in modo sostanziale un sistema di terzi, possiamo assumere gli obblighi, molto più estesi, del “fornitore”. In questi casi serve una valutazione specifica prima di procedere.</w:t>
      </w:r>
    </w:p>
    <w:p>
      <w:pPr>
        <w:pStyle w:val="Heading1"/>
      </w:pPr>
      <w:r>
        <w:t xml:space="preserve">2. Destinatari</w:t>
      </w:r>
    </w:p>
    <w:p>
      <w:pPr>
        <w:spacing w:after="120"/>
      </w:pPr>
      <w:r>
        <w:t xml:space="preserve">2.1 Questa policy si applica a dipendenti (a tempo indeterminato e determinato, a tempo pieno e parziale), amministratori, collaboratori, consulenti, lavoratori somministrati e stagisti di </w:t>
      </w:r>
      <w:r>
        <w:rPr>
          <w:color w:val="2650C8"/>
          <w:highlight w:val="yellow"/>
        </w:rPr>
        <w:t xml:space="preserve">[Nome della società]</w:t>
      </w:r>
      <w:r>
        <w:t xml:space="preserve">, e a </w:t>
      </w:r>
      <w:r>
        <w:rPr>
          <w:color w:val="2650C8"/>
          <w:highlight w:val="yellow"/>
        </w:rPr>
        <w:t xml:space="preserve">[eventuali altri gruppi]</w:t>
      </w:r>
      <w:r>
        <w:t xml:space="preserve">.</w:t>
      </w:r>
    </w:p>
    <w:p>
      <w:pPr>
        <w:spacing w:after="120"/>
      </w:pPr>
      <w:r>
        <w:t xml:space="preserve">2.2 I manager che incaricano collaboratori o fornitori che useranno l’AI sul nostro lavoro o sui nostri dati devono assicurarsi che conoscano questa policy e che i contratti la richiamino quando necessario.</w:t>
      </w:r>
    </w:p>
    <w:p>
      <w:pPr>
        <w:pStyle w:val="Heading1"/>
      </w:pPr>
      <w:r>
        <w:t xml:space="preserve">3. Ruoli e responsabilità</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Ruolo</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Chi</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Responsabilità</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Consiglio di amministrazione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[Consiglio di amministrazione, o comitato controllo e rischi]</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Vigila su come l’AI viene usata e governata, nell’ambito della valutazione dell’adeguatezza dell’assetto organizzativo. Riceve un report su usi, rischi e incidenti almeno </w:t>
            </w:r>
            <w:r>
              <w:rPr>
                <w:color w:val="2650C8"/>
                <w:highlight w:val="yellow"/>
              </w:rPr>
              <w:t xml:space="preserve">[ogni trimestre]</w:t>
            </w:r>
            <w:r>
              <w:t xml:space="preserve">. Esamina questa policy e il registro dell’AI almeno </w:t>
            </w:r>
            <w:r>
              <w:rPr>
                <w:color w:val="2650C8"/>
                <w:highlight w:val="yellow"/>
              </w:rPr>
              <w:t xml:space="preserve">[una volta l’anno]</w:t>
            </w:r>
            <w:r>
              <w:t xml:space="preserv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Dirigente responsabile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 ruolo, es. amministratore delegato o direttore generale]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Risponde in ultima istanza dell’uso dell’AI in </w:t>
            </w:r>
            <w:r>
              <w:rPr>
                <w:color w:val="2650C8"/>
                <w:highlight w:val="yellow"/>
              </w:rPr>
              <w:t xml:space="preserve">[Nome della società]</w:t>
            </w:r>
            <w:r>
              <w:t xml:space="preserve">. Approva questa policy, definisce la propensione al rischio sull’AI e approva gli usi ad alto rischio.</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Responsabile AI</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 ruolo]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Gestisce la policy nel quotidiano. Tiene l’elenco degli strumenti approvati e il registro dell’AI, esamina le richieste di nuovi strumenti e usi, coordina incidenti e formazione e riferisce al dirigente responsabile e al consiglio.</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Responsabili di sistema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[Indicati per ogni sistema nel registro]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Rispondono di un sistema o di un uso specifico. Assicurano che sia testato prima del lancio, monitorato dopo il lancio e usato come approvato. Per i sistemi ad alto rischio esercitano la sorveglianza umana o la affidano a persone con competenza, formazione e autorità adeguate.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Manager</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Tutti i responsabili di persone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Assicurano che i loro team conoscano e rispettino questa policy, approvano l’uso dell’AI nella loro area quando la policy lo consente e segnalano dubbi o incidenti al responsabile AI.</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Personale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Tutti i destinatari della sezione 2</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Usano solo strumenti approvati, rispettano le regole sui dati della sezione 6, controllano gli output dell’AI prima di farvi affidamento e segnalano subito i problemi.</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Privacy e sicurezza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[DPO, se nominato; responsabile IT o sicurezza, o fornitore esterno]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Valutano l’impatto sui dati personali e le valutazioni d’impatto, aggiornano informative e registro dei trattamenti, valutano la sicurezza degli strumenti di AI e gestiscono accessi e incidenti di sicurezza.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Personale e organizzazione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[Direttore del personale; consulente del lavoro; RSPP]</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Curano l’informativa ai lavoratori e alle rappresentanze sindacali, le verifiche sui controlli a distanza e l’aggiornamento della valutazione dei rischi per la sicurezza.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Organi di controllo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[Collegio sindacale; organismo di vigilanza 231]</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Ricevono le informazioni sull’uso dell’AI e sugli incidenti rilevanti per le rispettive funzioni.</w:t>
            </w:r>
          </w:p>
        </w:tc>
      </w:tr>
    </w:tbl>
    <w:p/>
    <w:p>
      <w:pPr>
        <w:pStyle w:val="Heading1"/>
      </w:pPr>
      <w:r>
        <w:t xml:space="preserve">4. Strumenti approvati e approvazione di nuovi strumenti</w:t>
      </w:r>
    </w:p>
    <w:p>
      <w:pPr>
        <w:spacing w:after="120"/>
      </w:pPr>
      <w:r>
        <w:t xml:space="preserve">4.1 Per le attività di </w:t>
      </w:r>
      <w:r>
        <w:rPr>
          <w:color w:val="2650C8"/>
          <w:highlight w:val="yellow"/>
        </w:rPr>
        <w:t xml:space="preserve">[Nome della società]</w:t>
      </w:r>
      <w:r>
        <w:t xml:space="preserve"> si possono usare solo gli strumenti di AI dell’elenco degli strumenti approvati. L’elenco aggiornato si trova in </w:t>
      </w:r>
      <w:r>
        <w:rPr>
          <w:color w:val="2650C8"/>
          <w:highlight w:val="yellow"/>
        </w:rPr>
        <w:t xml:space="preserve">[posizione, es. pagina intranet o cartella condivisa]</w:t>
      </w:r>
      <w: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Strumento</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Approvato per</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Tipo di account</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Note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 strumento]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redazione di testi, sintesi di documenti interni]</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licenza aziendale enterprise]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dati Ambra consentiti; dati Rossi mai]</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 strumento]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trascrizione delle riunioni]</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integrato in una piattaforma già in uso]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avvisare i partecipanti prima di registrare]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 strumento]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assistenza alla programmazione]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account aziendale, addestramento sui nostri dati disattivato]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[es. niente credenziali né dati di produzione]</w:t>
            </w:r>
          </w:p>
        </w:tc>
      </w:tr>
    </w:tbl>
    <w:p/>
    <w:p>
      <w:pPr>
        <w:spacing w:after="120"/>
      </w:pPr>
      <w:r>
        <w:t xml:space="preserve">4.2 Usate sempre l’account di </w:t>
      </w:r>
      <w:r>
        <w:rPr>
          <w:color w:val="2650C8"/>
          <w:highlight w:val="yellow"/>
        </w:rPr>
        <w:t xml:space="preserve">[Nome della società]</w:t>
      </w:r>
      <w:r>
        <w:t xml:space="preserve">, non un account personale, così che si applichino i nostri contratti e le nostre impostazioni di sicurezza.</w:t>
      </w:r>
    </w:p>
    <w:p>
      <w:pPr>
        <w:spacing w:after="120"/>
      </w:pPr>
      <w:r>
        <w:t xml:space="preserve">4.3 Per usare un nuovo strumento di AI, o uno strumento approvato per una nuova finalità, si presenta una richiesta al responsabile AI tramite </w:t>
      </w:r>
      <w:r>
        <w:rPr>
          <w:color w:val="2650C8"/>
          <w:highlight w:val="yellow"/>
        </w:rPr>
        <w:t xml:space="preserve">[modulo, indirizzo email o sistema di ticketing]</w:t>
      </w:r>
      <w:r>
        <w:t xml:space="preserve">. La richiesta indica di che strumento si tratta, per che cosa si vuole usarlo, quali dati userebbe e chi ne sarebbe interessato.</w:t>
      </w:r>
    </w:p>
    <w:p>
      <w:pPr>
        <w:spacing w:after="120"/>
      </w:pPr>
      <w:r>
        <w:t xml:space="preserve">4.4 Prima di approvare un nuovo strumento o uso, il responsabile AI verifica: che cosa fa il fornitore con i nostri dati (se li usa per addestrare i propri modelli, dove li conserva, se escono dallo Spazio economico europeo e chi vi ha accesso); le condizioni di sicurezza e privacy del fornitore, compreso l’accordo sul trattamento dei dati previsto dall’articolo 28 del GDPR; se lo strumento è stato testato per l’uso previsto; la classe di rischio secondo l’AI Act (sezione 5) e il livello di approvazione (punto 4.5); e come una persona controllerà gli output e potrà correggere o fermare lo strumento.</w:t>
      </w:r>
    </w:p>
    <w:p>
      <w:pPr>
        <w:spacing w:after="120"/>
      </w:pPr>
      <w:r>
        <w:t xml:space="preserve">4.5 Ci sono tre livelli di approvazione:</w:t>
      </w:r>
    </w:p>
    <w:p>
      <w:pPr>
        <w:pStyle w:val="ListParagraph"/>
        <w:numPr>
          <w:ilvl w:val="0"/>
          <w:numId w:val="1"/>
        </w:numPr>
      </w:pPr>
      <w:r>
        <w:rPr>
          <w:b/>
          <w:bCs/>
        </w:rPr>
        <w:t xml:space="preserve">Rischio basso</w:t>
      </w:r>
      <w:r>
        <w:t xml:space="preserve"> (per esempio, redazione di documenti interni senza dati personali o riservati): approva il responsabile AI.</w:t>
      </w:r>
    </w:p>
    <w:p>
      <w:pPr>
        <w:pStyle w:val="ListParagraph"/>
        <w:numPr>
          <w:ilvl w:val="0"/>
          <w:numId w:val="1"/>
        </w:numPr>
      </w:pPr>
      <w:r>
        <w:rPr>
          <w:b/>
          <w:bCs/>
        </w:rPr>
        <w:t xml:space="preserve">Rischio medio</w:t>
      </w:r>
      <w:r>
        <w:t xml:space="preserve"> (per esempio, contenuti destinati ai clienti, o uso con dati Ambra): approva il responsabile AI dopo le verifiche su privacy e sicurezza.</w:t>
      </w:r>
    </w:p>
    <w:p>
      <w:pPr>
        <w:pStyle w:val="ListParagraph"/>
        <w:numPr>
          <w:ilvl w:val="0"/>
          <w:numId w:val="1"/>
        </w:numPr>
      </w:pPr>
      <w:r>
        <w:rPr>
          <w:b/>
          <w:bCs/>
        </w:rPr>
        <w:t xml:space="preserve">Rischio alto</w:t>
      </w:r>
      <w:r>
        <w:t xml:space="preserve"> (per esempio, qualsiasi uso ad alto rischio secondo l’AI Act, qualsiasi uso che prende o contribuisce in modo sostanziale a decisioni su clienti, candidati o dipendenti, o che usa dati Rossi): approva il dirigente responsabile, dopo una valutazione completa dei rischi e una valutazione d’impatto sulla protezione dei dati.</w:t>
      </w:r>
    </w:p>
    <w:p>
      <w:pPr>
        <w:spacing w:after="120"/>
      </w:pPr>
      <w:r>
        <w:t xml:space="preserve">4.6 Le funzioni di AI che compaiono nel software già in uso sono trattate come nuovi strumenti. Non vanno attivate sui dati di </w:t>
      </w:r>
      <w:r>
        <w:rPr>
          <w:color w:val="2650C8"/>
          <w:highlight w:val="yellow"/>
        </w:rPr>
        <w:t xml:space="preserve">[Nome della società]</w:t>
      </w:r>
      <w:r>
        <w:t xml:space="preserve"> finché non sono state approvate.</w:t>
      </w:r>
    </w:p>
    <w:p>
      <w:pPr>
        <w:pStyle w:val="Heading1"/>
      </w:pPr>
      <w:r>
        <w:t xml:space="preserve">5. Classificazione secondo l’AI Act</w:t>
      </w:r>
    </w:p>
    <w:p>
      <w:pPr>
        <w:spacing w:after="120"/>
      </w:pPr>
      <w:r>
        <w:t xml:space="preserve">5.1 Prima di approvare un nuovo uso, il responsabile AI lo classifica in una di queste quattro categorie e lo annota nel registro dell’AI:</w:t>
      </w:r>
    </w:p>
    <w:p>
      <w:pPr>
        <w:pStyle w:val="ListParagraph"/>
        <w:numPr>
          <w:ilvl w:val="0"/>
          <w:numId w:val="1"/>
        </w:numPr>
      </w:pPr>
      <w:r>
        <w:rPr>
          <w:b/>
          <w:bCs/>
        </w:rPr>
        <w:t xml:space="preserve">Vietato.</w:t>
      </w:r>
      <w:r>
        <w:t xml:space="preserve"> Le pratiche vietate dall’articolo 5 dell’AI Act non si usano mai. Tra queste: tecniche subliminali o manipolative che distorcono il comportamento delle persone causando danni; lo sfruttamento delle vulnerabilità legate all’età, alla disabilità o alla situazione sociale o economica; il punteggio sociale; i sistemi che inferiscono le emozioni delle persone sul luogo di lavoro, salvo motivi medici o di sicurezza; la categorizzazione biometrica per dedurre dati sensibili; la creazione di banche dati di riconoscimento facciale tramite raccolta non mirata di immagini; dal 2 dicembre 2026, i sistemi usati per generare immagini intime di persone riconoscibili senza il loro consenso.</w:t>
      </w:r>
    </w:p>
    <w:p>
      <w:pPr>
        <w:pStyle w:val="ListParagraph"/>
        <w:numPr>
          <w:ilvl w:val="0"/>
          <w:numId w:val="1"/>
        </w:numPr>
      </w:pPr>
      <w:r>
        <w:rPr>
          <w:b/>
          <w:bCs/>
        </w:rPr>
        <w:t xml:space="preserve">Alto rischio.</w:t>
      </w:r>
      <w:r>
        <w:t xml:space="preserve"> Gli usi elencati nell’allegato III dell’AI Act, tra cui la selezione del personale; le decisioni su condizioni di lavoro, promozioni e cessazioni; l’assegnazione dei compiti in base al comportamento o alle caratteristiche personali; il monitoraggio e la valutazione dei lavoratori; la valutazione del merito creditizio delle persone fisiche; la valutazione dei rischi e la determinazione dei prezzi nelle assicurazioni vita e malattia. Richiedono l’approvazione del dirigente responsabile. Dal 2 dicembre 2027 si applicano gli obblighi del deployer dell’articolo 26: uso conforme alle istruzioni del fornitore, sorveglianza umana affidata a persone competenti, dati di input pertinenti, monitoraggio, conservazione dei log per almeno sei mesi, informazione dei lavoratori e delle loro rappresentanze prima dell’uso sul luogo di lavoro e informazione delle persone interessate dalle decisioni. Li applichiamo fin da ora come buona prassi.</w:t>
      </w:r>
    </w:p>
    <w:p>
      <w:pPr>
        <w:pStyle w:val="ListParagraph"/>
        <w:numPr>
          <w:ilvl w:val="0"/>
          <w:numId w:val="1"/>
        </w:numPr>
      </w:pPr>
      <w:r>
        <w:rPr>
          <w:b/>
          <w:bCs/>
        </w:rPr>
        <w:t xml:space="preserve">Obblighi di trasparenza.</w:t>
      </w:r>
      <w:r>
        <w:t xml:space="preserve"> Chatbot, deepfake e testi generati dall’AI pubblicati per informare il pubblico (sezione 8).</w:t>
      </w:r>
    </w:p>
    <w:p>
      <w:pPr>
        <w:pStyle w:val="ListParagraph"/>
        <w:numPr>
          <w:ilvl w:val="0"/>
          <w:numId w:val="1"/>
        </w:numPr>
      </w:pPr>
      <w:r>
        <w:rPr>
          <w:b/>
          <w:bCs/>
        </w:rPr>
        <w:t xml:space="preserve">Rischio minimo.</w:t>
      </w:r>
      <w:r>
        <w:t xml:space="preserve"> Tutti gli altri usi, con le regole generali di questa policy.</w:t>
      </w:r>
    </w:p>
    <w:p>
      <w:pPr>
        <w:spacing w:after="120"/>
      </w:pPr>
      <w:r>
        <w:t xml:space="preserve">5.2 In caso di dubbio, il responsabile AI chiede il parere di </w:t>
      </w:r>
      <w:r>
        <w:rPr>
          <w:color w:val="2650C8"/>
          <w:highlight w:val="yellow"/>
        </w:rPr>
        <w:t xml:space="preserve">[consulente legale]</w:t>
      </w:r>
      <w:r>
        <w:t xml:space="preserve"> prima di approvare.</w:t>
      </w:r>
    </w:p>
    <w:p>
      <w:pPr>
        <w:spacing w:after="120"/>
      </w:pPr>
      <w:r>
        <w:t xml:space="preserve">5.3 </w:t>
      </w:r>
      <w:r>
        <w:rPr>
          <w:color w:val="2650C8"/>
          <w:highlight w:val="yellow"/>
        </w:rPr>
        <w:t xml:space="preserve">[Se applicabile: prima di usare sistemi ad alto rischio per valutare il merito creditizio o determinare i prezzi di assicurazioni vita e malattia, o se forniamo servizi pubblici, svolgiamo la valutazione d’impatto sui diritti fondamentali prevista dall’articolo 27 dell’AI Act, richiamando dove possibile la valutazione d’impatto sulla protezione dei dati.]</w:t>
      </w:r>
    </w:p>
    <w:p>
      <w:pPr>
        <w:pStyle w:val="Heading1"/>
      </w:pPr>
      <w:r>
        <w:t xml:space="preserve">6. Che cosa si può e non si può inserire negli strumenti di AI</w:t>
      </w:r>
    </w:p>
    <w:p>
      <w:pPr>
        <w:spacing w:after="120"/>
      </w:pPr>
      <w:r>
        <w:t xml:space="preserve">6.1 Ciò che si inserisce in uno strumento di AI può essere conservato, visto dal fornitore o usato in modi che non controlliamo. Seguite questo semaforo. In caso di dubbio, trattate l’informazione come Rossa e chiedete al responsabile AI.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Che cosa significa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Esempi</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Verde: consentito in qualsiasi strumento approvato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Informazioni pubbliche o non sensibili</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Contenuti pubblicati sul sito, report pubblici, domande di ricerca generali, bozze proprie senza dati di clienti o personali, modelli generici</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Ambra: solo strumenti aziendali approvati, e solo per una finalità approvata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Informazioni interne o riservate, o dati personali limitati quando l’uso è stato approvato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Piani e procedure interne, dati pseudonimizzati, documenti di clienti se il contratto lo consente, nomi e recapiti di lavoro dei colleghi per attività di routine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Rosso: mai, salvo approvazione scritta e specifica del dirigente responsabile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Informazioni che potrebbero causare un danno grave se esposte o usate in modo improprio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Categorie particolari di dati personali (salute, origine razziale o etnica, opinioni politiche, convinzioni religiose, appartenenza sindacale, orientamento sessuale, dati genetici e biometrici), dati su condanne penali e reati, documenti d’identità, IBAN e dati di carte di pagamento, retribuzioni e valutazioni individuali, password, chiavi API e altre credenziali, dati di clienti se il contratto lo vieta, pareri legali riservati, informazioni privilegiate e risultati finanziari non pubblicati, segreti commerciali e codice sorgente di </w:t>
            </w:r>
            <w:r>
              <w:rPr>
                <w:color w:val="2650C8"/>
                <w:highlight w:val="yellow"/>
              </w:rPr>
              <w:t xml:space="preserve">[prodotto principale]</w:t>
            </w:r>
          </w:p>
        </w:tc>
      </w:tr>
    </w:tbl>
    <w:p/>
    <w:p>
      <w:pPr>
        <w:spacing w:after="120"/>
      </w:pPr>
      <w:r>
        <w:t xml:space="preserve">6.2 Non inserite mai dati personali, e in particolare categorie particolari di dati, in strumenti di AI pubblici o gratuiti.</w:t>
      </w:r>
    </w:p>
    <w:p>
      <w:pPr>
        <w:spacing w:after="120"/>
      </w:pPr>
      <w:r>
        <w:t xml:space="preserve">6.3 Non inserite mai password, token di accesso, chiavi API o altre credenziali in alcuno strumento di AI.</w:t>
      </w:r>
    </w:p>
    <w:p>
      <w:pPr>
        <w:spacing w:after="120"/>
      </w:pPr>
      <w:r>
        <w:t xml:space="preserve">6.4 Verificate i contratti con i clienti prima di usare loro informazioni in uno strumento di AI. Alcuni clienti lo vietano o chiedono il loro consenso.</w:t>
      </w:r>
    </w:p>
    <w:p>
      <w:pPr>
        <w:spacing w:after="120"/>
      </w:pPr>
      <w:r>
        <w:t xml:space="preserve">6.5 Quando possibile, eliminate nomi e dati identificativi prima di usare informazioni in uno strumento di AI, e usate solo le informazioni necessarie per l’attività.</w:t>
      </w:r>
    </w:p>
    <w:p>
      <w:pPr>
        <w:pStyle w:val="Heading1"/>
      </w:pPr>
      <w:r>
        <w:t xml:space="preserve">7. Revisione umana e accuratezza</w:t>
      </w:r>
    </w:p>
    <w:p>
      <w:pPr>
        <w:spacing w:after="120"/>
      </w:pPr>
      <w:r>
        <w:t xml:space="preserve">7.1 Chi produce un lavoro con l’AI ne risponde come se lo avesse prodotto da solo.</w:t>
      </w:r>
    </w:p>
    <w:p>
      <w:pPr>
        <w:spacing w:after="120"/>
      </w:pPr>
      <w:r>
        <w:t xml:space="preserve">7.2 Gli strumenti di AI possono sbagliare, essere superati o distorti, e inventare con sicurezza. Prima di fare affidamento su un output dell’AI o di condividerlo, controllatene fatti, cifre, nomi, riferimenti e citazioni, e verificate che non contenga nulla di inappropriato, iniquo o fuorviante.</w:t>
      </w:r>
    </w:p>
    <w:p>
      <w:pPr>
        <w:spacing w:after="120"/>
      </w:pPr>
      <w:r>
        <w:t xml:space="preserve">7.3 Il controllo è proporzionato alla posta in gioco. Un brainstorming richiede una lettura veloce; consulenza ai clienti, dati finanziari, contenuti legali e tutto ciò che viene pubblicato richiedono una revisione attenta da parte di una persona con le competenze adeguate.</w:t>
      </w:r>
    </w:p>
    <w:p>
      <w:pPr>
        <w:spacing w:after="120"/>
      </w:pPr>
      <w:r>
        <w:t xml:space="preserve">7.4 L’AI non prende decisioni finali che incidono in modo significativo su una persona, come assunzione, valutazione, credito o accesso a un servizio, senza che una persona ne verifichi l’esito e possa modificarlo. In particolare, le decisioni finali sul rapporto di lavoro, compresi i provvedimenti disciplinari e le valutazioni delle prestazioni, sono sempre prese da una persona con un potere effettivo e autonomo (articolo 41 del d.lgs. 7 ottobre 2026, n. 179). Una persona deve poter sospendere o fermare qualsiasi sistema di AI che compie azioni nei nostri sistemi.</w:t>
      </w:r>
    </w:p>
    <w:p>
      <w:pPr>
        <w:pStyle w:val="Heading1"/>
      </w:pPr>
      <w:r>
        <w:t xml:space="preserve">8. Trasparenza</w:t>
      </w:r>
    </w:p>
    <w:p>
      <w:pPr>
        <w:spacing w:after="120"/>
      </w:pPr>
      <w:r>
        <w:t xml:space="preserve">8.1 Informiamo clienti e pubblico quando:</w:t>
      </w:r>
    </w:p>
    <w:p>
      <w:pPr>
        <w:pStyle w:val="ListParagraph"/>
        <w:numPr>
          <w:ilvl w:val="0"/>
          <w:numId w:val="1"/>
        </w:numPr>
      </w:pPr>
      <w:r>
        <w:t xml:space="preserve">interagiscono con un sistema di AI e non con una persona, come un chatbot, che va indicato chiaramente come AI</w:t>
      </w:r>
    </w:p>
    <w:p>
      <w:pPr>
        <w:pStyle w:val="ListParagraph"/>
        <w:numPr>
          <w:ilvl w:val="0"/>
          <w:numId w:val="1"/>
        </w:numPr>
      </w:pPr>
      <w:r>
        <w:t xml:space="preserve">immagini, audio o video generati o manipolati dall’AI costituiscono un deepfake (articolo 50 dell’AI Act)</w:t>
      </w:r>
    </w:p>
    <w:p>
      <w:pPr>
        <w:pStyle w:val="ListParagraph"/>
        <w:numPr>
          <w:ilvl w:val="0"/>
          <w:numId w:val="1"/>
        </w:numPr>
      </w:pPr>
      <w:r>
        <w:t xml:space="preserve">un testo generato o manipolato dall’AI viene pubblicato per informare il pubblico su questioni di interesse pubblico, salvo che sia stato sottoposto a revisione umana o controllo editoriale e una persona ne abbia la responsabilità editoriale</w:t>
      </w:r>
    </w:p>
    <w:p>
      <w:pPr>
        <w:pStyle w:val="ListParagraph"/>
        <w:numPr>
          <w:ilvl w:val="0"/>
          <w:numId w:val="1"/>
        </w:numPr>
      </w:pPr>
      <w:r>
        <w:t xml:space="preserve">l’AI è stata usata per prendere, o per contribuire in modo sostanziale a, una decisione che li riguarda</w:t>
      </w:r>
    </w:p>
    <w:p>
      <w:pPr>
        <w:pStyle w:val="ListParagraph"/>
        <w:numPr>
          <w:ilvl w:val="0"/>
          <w:numId w:val="1"/>
        </w:numPr>
      </w:pPr>
      <w:r>
        <w:t xml:space="preserve">un contenuto è in gran parte generato dall’AI e si aspetterebbero ragionevolmente di saperlo, come immagini di persone o di eventi.</w:t>
      </w:r>
    </w:p>
    <w:p>
      <w:pPr>
        <w:spacing w:after="120"/>
      </w:pPr>
      <w:r>
        <w:t xml:space="preserve">8.2 Dite ai colleghi quando un lavoro che consegnate è stato prodotto in gran parte con l’AI, e rispettate le richieste dei clienti sulla dichiarazione dell’uso dell’AI.</w:t>
      </w:r>
    </w:p>
    <w:p>
      <w:pPr>
        <w:spacing w:after="120"/>
      </w:pPr>
      <w:r>
        <w:t xml:space="preserve">8.3 </w:t>
      </w:r>
      <w:r>
        <w:rPr>
          <w:color w:val="2650C8"/>
          <w:highlight w:val="yellow"/>
        </w:rPr>
        <w:t xml:space="preserve">[Se svolgiamo professioni intellettuali: l’AI è usata solo per attività strumentali e di supporto, con prevalenza del lavoro intellettuale del professionista, e informiamo i clienti dei sistemi di AI utilizzati con linguaggio chiaro, semplice ed esaustivo (articolo 13 della legge 132/2025).]</w:t>
      </w:r>
    </w:p>
    <w:p>
      <w:pPr>
        <w:spacing w:after="120"/>
      </w:pPr>
      <w:r>
        <w:t xml:space="preserve">8.4 Chiunque sia interessato da una decisione assistita dall’AI deve poter fare domande e parlare con una persona. Contatto: </w:t>
      </w:r>
      <w:r>
        <w:rPr>
          <w:color w:val="2650C8"/>
          <w:highlight w:val="yellow"/>
        </w:rPr>
        <w:t xml:space="preserve">[indirizzo email o ufficio]</w:t>
      </w:r>
      <w:r>
        <w:t xml:space="preserve">.</w:t>
      </w:r>
    </w:p>
    <w:p>
      <w:pPr>
        <w:pStyle w:val="Heading1"/>
      </w:pPr>
      <w:r>
        <w:t xml:space="preserve">9. Privacy e protezione dei dati personali</w:t>
      </w:r>
    </w:p>
    <w:p>
      <w:pPr>
        <w:spacing w:after="120"/>
      </w:pPr>
      <w:r>
        <w:t xml:space="preserve">9.1 Il GDPR e il Codice in materia di protezione dei dati personali (d.lgs. 196/2003) si applicano a tutti gli usi dell’AI che coinvolgono dati personali: i dati che inseriamo negli strumenti di AI e qualsiasi output che contiene dati personali di una persona identificabile.</w:t>
      </w:r>
    </w:p>
    <w:p>
      <w:pPr>
        <w:spacing w:after="120"/>
      </w:pPr>
      <w:r>
        <w:t xml:space="preserve">9.2 Di conseguenza:</w:t>
      </w:r>
    </w:p>
    <w:p>
      <w:pPr>
        <w:pStyle w:val="ListParagraph"/>
        <w:numPr>
          <w:ilvl w:val="0"/>
          <w:numId w:val="1"/>
        </w:numPr>
      </w:pPr>
      <w:r>
        <w:t xml:space="preserve">usiamo dati personali negli strumenti di AI solo con una base giuridica valida (articolo 6 del GDPR) e per finalità compatibili con quelle per cui sono stati raccolti</w:t>
      </w:r>
    </w:p>
    <w:p>
      <w:pPr>
        <w:pStyle w:val="ListParagraph"/>
        <w:numPr>
          <w:ilvl w:val="0"/>
          <w:numId w:val="1"/>
        </w:numPr>
      </w:pPr>
      <w:r>
        <w:t xml:space="preserve">usiamo solo i dati necessari e li manteniamo esatti e sicuri (articoli 5 e 32 del GDPR)</w:t>
      </w:r>
    </w:p>
    <w:p>
      <w:pPr>
        <w:pStyle w:val="ListParagraph"/>
        <w:numPr>
          <w:ilvl w:val="0"/>
          <w:numId w:val="1"/>
        </w:numPr>
      </w:pPr>
      <w:r>
        <w:t xml:space="preserve">trattiamo le informazioni che l’AI genera o deduce su una persona come dati personali a tutti gli effetti</w:t>
      </w:r>
    </w:p>
    <w:p>
      <w:pPr>
        <w:pStyle w:val="ListParagraph"/>
        <w:numPr>
          <w:ilvl w:val="0"/>
          <w:numId w:val="1"/>
        </w:numPr>
      </w:pPr>
      <w:r>
        <w:t xml:space="preserve">spieghiamo come usiamo l’AI nelle informative (articoli 13 e 14 del GDPR), con linguaggio chiaro e semplice come chiede anche l’articolo 4 della legge 132/2025, e aggiorniamo il registro dei trattamenti</w:t>
      </w:r>
    </w:p>
    <w:p>
      <w:pPr>
        <w:pStyle w:val="ListParagraph"/>
        <w:numPr>
          <w:ilvl w:val="0"/>
          <w:numId w:val="1"/>
        </w:numPr>
      </w:pPr>
      <w:r>
        <w:t xml:space="preserve">firmiamo un accordo sul trattamento dei dati con ogni fornitore di AI che tratta dati per nostro conto, e verifichiamo le garanzie per i trasferimenti fuori dallo Spazio economico europeo</w:t>
      </w:r>
    </w:p>
    <w:p>
      <w:pPr>
        <w:pStyle w:val="ListParagraph"/>
        <w:numPr>
          <w:ilvl w:val="0"/>
          <w:numId w:val="1"/>
        </w:numPr>
      </w:pPr>
      <w:r>
        <w:rPr>
          <w:color w:val="2650C8"/>
          <w:highlight w:val="yellow"/>
        </w:rPr>
        <w:t xml:space="preserve">[se offriamo servizi basati sull’AI a minori: per i minori di 14 anni raccogliamo il consenso di chi esercita la responsabilità genitoriale (articolo 4 della legge 132/2025).]</w:t>
      </w:r>
    </w:p>
    <w:p>
      <w:pPr>
        <w:spacing w:after="120"/>
      </w:pPr>
      <w:r>
        <w:t xml:space="preserve">9.3 </w:t>
      </w:r>
      <w:r>
        <w:rPr>
          <w:b/>
          <w:bCs/>
        </w:rPr>
        <w:t xml:space="preserve">Decisioni automatizzate.</w:t>
      </w:r>
      <w:r>
        <w:t xml:space="preserve"> Le persone hanno il diritto di non essere sottoposte a decisioni basate unicamente su un trattamento automatizzato che producono effetti giuridici o incidono in modo analogo significativamente su di loro, salvo le eccezioni dell’articolo 22 del GDPR e con le relative garanzie, compreso l’intervento umano. Quando usiamo decisioni automatizzate, le informative spiegano la logica utilizzata e le conseguenze previste. Il responsabile AI e il DPO usano il registro dell’AI per tenere aggiornate le informative.</w:t>
      </w:r>
    </w:p>
    <w:p>
      <w:pPr>
        <w:spacing w:after="120"/>
      </w:pPr>
      <w:r>
        <w:t xml:space="preserve">9.4 </w:t>
      </w:r>
      <w:r>
        <w:rPr>
          <w:b/>
          <w:bCs/>
        </w:rPr>
        <w:t xml:space="preserve">Valutazione d’impatto.</w:t>
      </w:r>
      <w:r>
        <w:t xml:space="preserve"> Prima che un nuovo uso dell’AI con dati personali entri in funzione, il responsabile AI verifica con il DPO se serve una valutazione d’impatto sulla protezione dei dati (articolo 35 del GDPR). Il Garante privacy include i sistemi di intelligenza artificiale tra le tecnologie innovative che la richiedono quando ricorre almeno un altro criterio di rischio. La valutazione è sempre richiesta per gli usi ad alto rischio. Per i sistemi ad alto rischio usiamo le informazioni del fornitore previste dall’AI Act.</w:t>
      </w:r>
    </w:p>
    <w:p>
      <w:pPr>
        <w:pStyle w:val="Heading1"/>
      </w:pPr>
      <w:r>
        <w:t xml:space="preserve">10. Lavoro e dipendenti</w:t>
      </w:r>
    </w:p>
    <w:p>
      <w:pPr>
        <w:spacing w:after="120"/>
      </w:pPr>
      <w:r>
        <w:t xml:space="preserve">10.1 Prima di introdurre sistemi automatizzati che forniscono indicazioni rilevanti su assunzione, gestione o cessazione del rapporto di lavoro, assegnazione dei compiti, sorveglianza o valutazione delle prestazioni, </w:t>
      </w:r>
      <w:r>
        <w:rPr>
          <w:color w:val="2650C8"/>
          <w:highlight w:val="yellow"/>
        </w:rPr>
        <w:t xml:space="preserve">[Direttore del personale]</w:t>
      </w:r>
      <w:r>
        <w:t xml:space="preserve"> fornisce ai lavoratori l’informativa scritta prevista dall’articolo 1-bis del d.lgs. 26 maggio 1997, n. 152, come richiamato dall’articolo 11 della legge 132/2025, e le informazioni dovute alle rappresentanze sindacali.</w:t>
      </w:r>
    </w:p>
    <w:p>
      <w:pPr>
        <w:spacing w:after="120"/>
      </w:pPr>
      <w:r>
        <w:t xml:space="preserve">10.2 Se uno strumento di AI consente il controllo a distanza dell’attività dei lavoratori, prima di attivarlo </w:t>
      </w:r>
      <w:r>
        <w:rPr>
          <w:color w:val="2650C8"/>
          <w:highlight w:val="yellow"/>
        </w:rPr>
        <w:t xml:space="preserve">[consulente del lavoro]</w:t>
      </w:r>
      <w:r>
        <w:t xml:space="preserve"> verifica il rispetto dell’articolo 4 della legge 20 maggio 1970, n. 300 (Statuto dei lavoratori).</w:t>
      </w:r>
    </w:p>
    <w:p>
      <w:pPr>
        <w:spacing w:after="120"/>
      </w:pPr>
      <w:r>
        <w:t xml:space="preserve">10.3 Le decisioni finali sul rapporto di lavoro sono prese da una persona (punto 7.4). Il lavoratore può chiedere, tramite una persona, una motivazione comprensibile della decisione che lo riguarda, compresa l’eventuale incidenza dell’AI e i principali parametri considerati.</w:t>
      </w:r>
    </w:p>
    <w:p>
      <w:pPr>
        <w:spacing w:after="120"/>
      </w:pPr>
      <w:r>
        <w:t xml:space="preserve">10.4 I sistemi di AI che incidono sull’organizzazione del lavoro, sui ritmi produttivi, sulle modalità della prestazione o su decisioni rilevanti per la sicurezza sono considerati nel documento di valutazione dei rischi, con il </w:t>
      </w:r>
      <w:r>
        <w:rPr>
          <w:color w:val="2650C8"/>
          <w:highlight w:val="yellow"/>
        </w:rPr>
        <w:t xml:space="preserve">[RSPP]</w:t>
      </w:r>
      <w:r>
        <w:t xml:space="preserve">. I lavoratori ricevono informazione e formazione sui rischi specifici e sulle misure adottate (articolo 42 del d.lgs. 179/2026).</w:t>
      </w:r>
    </w:p>
    <w:p>
      <w:pPr>
        <w:pStyle w:val="Heading1"/>
      </w:pPr>
      <w:r>
        <w:t xml:space="preserve">11. Sicurezza</w:t>
      </w:r>
    </w:p>
    <w:p>
      <w:pPr>
        <w:spacing w:after="120"/>
      </w:pPr>
      <w:r>
        <w:t xml:space="preserve">11.1 Usate gli strumenti di AI solo con account aziendali approvati, con autenticazione a più fattori dove disponibile. Non installate estensioni, plug-in o agenti di AI, e non collegate strumenti di AI a posta, file o sistemi aziendali, se non sono stati approvati.</w:t>
      </w:r>
    </w:p>
    <w:p>
      <w:pPr>
        <w:spacing w:after="120"/>
      </w:pPr>
      <w:r>
        <w:t xml:space="preserve">11.2 Prestate attenzione alle truffe basate sull’AI, come email di phishing convincenti o voci contraffatte che chiedono pagamenti o accessi. Verificate le richieste insolite attraverso un canale separato e conosciuto.</w:t>
      </w:r>
    </w:p>
    <w:p>
      <w:pPr>
        <w:spacing w:after="120"/>
      </w:pPr>
      <w:r>
        <w:t xml:space="preserve">11.3 Trattate codice, link e file generati dall’AI come non affidabili finché non sono stati controllati. Non eseguite in produzione codice generato dall’AI senza revisione e test.</w:t>
      </w:r>
    </w:p>
    <w:p>
      <w:pPr>
        <w:pStyle w:val="Heading1"/>
      </w:pPr>
      <w:r>
        <w:t xml:space="preserve">12. Proprietà intellettuale e diritto d’autore</w:t>
      </w:r>
    </w:p>
    <w:p>
      <w:pPr>
        <w:spacing w:after="120"/>
      </w:pPr>
      <w:r>
        <w:t xml:space="preserve">12.1 Non inserite negli strumenti di AI contenuti che non abbiamo il diritto di usare in quel modo, come materiale di terzi in licenza o materiali di clienti quando il contratto non lo consente.</w:t>
      </w:r>
    </w:p>
    <w:p>
      <w:pPr>
        <w:spacing w:after="120"/>
      </w:pPr>
      <w:r>
        <w:t xml:space="preserve">12.2 Gli output dell’AI possono somigliare a opere protette, marchi o lavori altrui. Verificate prima di pubblicarli o usarli a fini commerciali, e non usate l’AI per imitare deliberatamente l’opera o il marchio di qualcun altro.</w:t>
      </w:r>
    </w:p>
    <w:p>
      <w:pPr>
        <w:spacing w:after="120"/>
      </w:pPr>
      <w:r>
        <w:t xml:space="preserve">12.3 La legge sul diritto d’autore protegge le opere dell’ingegno umano, anche se create con l’ausilio dell’AI, purché siano il risultato del lavoro intellettuale dell’autore. Mantenete una persona coinvolta in modo significativo nella creazione dei contenuti importanti, e verificate nelle condizioni del fornitore a chi appartengono input e output.</w:t>
      </w:r>
    </w:p>
    <w:p>
      <w:pPr>
        <w:pStyle w:val="Heading1"/>
      </w:pPr>
      <w:r>
        <w:t xml:space="preserve">13. Bias ed equità</w:t>
      </w:r>
    </w:p>
    <w:p>
      <w:pPr>
        <w:spacing w:after="120"/>
      </w:pPr>
      <w:r>
        <w:t xml:space="preserve">13.1 Gli strumenti di AI possono riflettere e amplificare i pregiudizi presenti nei dati da cui hanno imparato. Non usiamo l’AI in modo da discriminare chiunque, anche in base a sesso, età, origine etnica, credo religioso, orientamento sessuale, opinioni politiche, disabilità o condizioni personali, sociali ed economiche.</w:t>
      </w:r>
    </w:p>
    <w:p>
      <w:pPr>
        <w:spacing w:after="120"/>
      </w:pPr>
      <w:r>
        <w:t xml:space="preserve">13.2 Prima di usare l’AI in decisioni sulle persone, come selezione, valutazione, prezzi o accesso a un servizio, il responsabile di sistema la testa su esempi realistici per individuare esiti iniqui, e continua a verificarla dopo il lancio. Le persone devono poter parlare con una persona se l’AI non funziona per loro.</w:t>
      </w:r>
    </w:p>
    <w:p>
      <w:pPr>
        <w:pStyle w:val="Heading1"/>
      </w:pPr>
      <w:r>
        <w:t xml:space="preserve">14. Registro dell’AI</w:t>
      </w:r>
    </w:p>
    <w:p>
      <w:pPr>
        <w:spacing w:after="120"/>
      </w:pPr>
      <w:r>
        <w:t xml:space="preserve">14.1 Il responsabile AI tiene un registro di tutti gli strumenti e gli usi di AI approvati in </w:t>
      </w:r>
      <w:r>
        <w:rPr>
          <w:color w:val="2650C8"/>
          <w:highlight w:val="yellow"/>
        </w:rPr>
        <w:t xml:space="preserve">[posizione]</w:t>
      </w:r>
      <w:r>
        <w:t xml:space="preserve">. Ogni voce indica strumento e fornitore, per che cosa è usato e da chi, il responsabile di sistema, il ruolo dell’azienda (deployer o fornitore), la classe di rischio secondo l’AI Act e il livello e la data di approvazione, i dati usati (compresi eventuali dati personali e il luogo in cui sono conservati), se prende o contribuisce in modo sostanziale a decisioni sulle persone, se sono state svolte valutazioni d’impatto, come una persona lo controlla e lo corregge, e la data dell’ultima verifica.</w:t>
      </w:r>
    </w:p>
    <w:p>
      <w:pPr>
        <w:spacing w:after="120"/>
      </w:pPr>
      <w:r>
        <w:t xml:space="preserve">14.2 Segnalate al responsabile AI qualsiasi uso dell’AI che non risulta nel registro, comprese le funzioni di AI nel software esistente.</w:t>
      </w:r>
    </w:p>
    <w:p>
      <w:pPr>
        <w:spacing w:after="120"/>
      </w:pPr>
      <w:r>
        <w:t xml:space="preserve">14.3 Conservate la documentazione del lavoro svolto con l’AI secondo la nostra </w:t>
      </w:r>
      <w:r>
        <w:rPr>
          <w:color w:val="2650C8"/>
          <w:highlight w:val="yellow"/>
        </w:rPr>
        <w:t xml:space="preserve">[Policy di gestione documentale]</w:t>
      </w:r>
      <w:r>
        <w:t xml:space="preserve">. Per gli usi ad alto rischio, conservate informazioni sufficienti a spiegare come è stata presa una decisione.</w:t>
      </w:r>
    </w:p>
    <w:p>
      <w:pPr>
        <w:pStyle w:val="Heading1"/>
      </w:pPr>
      <w:r>
        <w:t xml:space="preserve">15. Incidenti e segnalazioni</w:t>
      </w:r>
    </w:p>
    <w:p>
      <w:pPr>
        <w:spacing w:after="120"/>
      </w:pPr>
      <w:r>
        <w:t xml:space="preserve">15.1 Segnalate un incidente o un quasi incidente legato all’AI a </w:t>
      </w:r>
      <w:r>
        <w:rPr>
          <w:color w:val="2650C8"/>
          <w:highlight w:val="yellow"/>
        </w:rPr>
        <w:t xml:space="preserve">[responsabile AI / help desk IT / indirizzo email]</w:t>
      </w:r>
      <w:r>
        <w:t xml:space="preserve"> appena ve ne accorgete. Per esempio: dati Rossi inseriti in uno strumento non approvato, un output errato su cui si è fatto affidamento o inviato a un cliente, un sistema di AI che compie un’azione che non dovrebbe, un reclamo su una decisione assistita dall’AI, una sospetta truffa basata sull’AI.</w:t>
      </w:r>
    </w:p>
    <w:p>
      <w:pPr>
        <w:spacing w:after="120"/>
      </w:pPr>
      <w:r>
        <w:t xml:space="preserve">15.2 Chi segnala tempestivamente un errore commesso in buona fede non viene sanzionato. Nasconderlo è una violazione di questa policy.</w:t>
      </w:r>
    </w:p>
    <w:p>
      <w:pPr>
        <w:spacing w:after="120"/>
      </w:pPr>
      <w:r>
        <w:t xml:space="preserve">15.3 Il responsabile AI registra l’incidente, sospende o ripristina il sistema se necessario, verifica con il DPO se si tratta di una violazione di dati personali da notificare al Garante entro 72 ore (articolo 33 del GDPR) e da comunicare agli interessati, corregge la causa e include l’incidente nel report successivo al consiglio. Per i sistemi ad alto rischio, gli incidenti gravi si comunicano al fornitore e all’autorità di vigilanza del mercato come previsto dall’articolo 26 dell’AI Act. Se l’incidente può essere rilevante ai fini del d.lgs. 231/2001, si informa l’organismo di vigilanza. I processi critici devono poter continuare senza lo strumento di AI.</w:t>
      </w:r>
    </w:p>
    <w:p>
      <w:pPr>
        <w:pStyle w:val="Heading1"/>
      </w:pPr>
      <w:r>
        <w:t xml:space="preserve">16. Formazione</w:t>
      </w:r>
    </w:p>
    <w:p>
      <w:pPr>
        <w:spacing w:after="120"/>
      </w:pPr>
      <w:r>
        <w:t xml:space="preserve">16.1 Tutti i destinatari di questa policy completano la formazione sull’AI di </w:t>
      </w:r>
      <w:r>
        <w:rPr>
          <w:color w:val="2650C8"/>
          <w:highlight w:val="yellow"/>
        </w:rPr>
        <w:t xml:space="preserve">[Nome della società]</w:t>
      </w:r>
      <w:r>
        <w:t xml:space="preserve"> entro </w:t>
      </w:r>
      <w:r>
        <w:rPr>
          <w:color w:val="2650C8"/>
          <w:highlight w:val="yellow"/>
        </w:rPr>
        <w:t xml:space="preserve">[30]</w:t>
      </w:r>
      <w:r>
        <w:t xml:space="preserve"> giorni dall’ingresso in azienda o dall’adozione della policy, e la aggiornano </w:t>
      </w:r>
      <w:r>
        <w:rPr>
          <w:color w:val="2650C8"/>
          <w:highlight w:val="yellow"/>
        </w:rPr>
        <w:t xml:space="preserve">[ogni anno]</w:t>
      </w:r>
      <w:r>
        <w:t xml:space="preserve">. La formazione copre questa policy, le regole sui dati, il controllo degli output, la segnalazione degli incidenti e l’uso pratico degli strumenti approvati. È una delle misure con cui adempiamo all’obbligo di alfabetizzazione in materia di AI dell’articolo 4 dell’AI Act.</w:t>
      </w:r>
    </w:p>
    <w:p>
      <w:pPr>
        <w:spacing w:after="120"/>
      </w:pPr>
      <w:r>
        <w:t xml:space="preserve">16.2 Responsabili di sistema, manager e chi usa l’AI in attività ad alto rischio ricevono una formazione aggiuntiva per il loro ruolo. Gli amministratori ricevono un briefing sull’AI governance almeno </w:t>
      </w:r>
      <w:r>
        <w:rPr>
          <w:color w:val="2650C8"/>
          <w:highlight w:val="yellow"/>
        </w:rPr>
        <w:t xml:space="preserve">[una volta l’anno]</w:t>
      </w:r>
      <w:r>
        <w:t xml:space="preserve">.</w:t>
      </w:r>
    </w:p>
    <w:p>
      <w:pPr>
        <w:spacing w:after="120"/>
      </w:pPr>
      <w:r>
        <w:t xml:space="preserve">16.3 Il responsabile AI conserva traccia della formazione svolta: partecipanti, date e materiali.</w:t>
      </w:r>
    </w:p>
    <w:p>
      <w:pPr>
        <w:pStyle w:val="Heading1"/>
      </w:pPr>
      <w:r>
        <w:t xml:space="preserve">17. Violazioni della policy</w:t>
      </w:r>
    </w:p>
    <w:p>
      <w:pPr>
        <w:spacing w:after="120"/>
      </w:pPr>
      <w:r>
        <w:t xml:space="preserve">17.1 La violazione di questa policy può comportare provvedimenti disciplinari, fino al licenziamento o alla risoluzione del rapporto, nel rispetto dell’articolo 7 della legge 300/1970, del </w:t>
      </w:r>
      <w:r>
        <w:rPr>
          <w:color w:val="2650C8"/>
          <w:highlight w:val="yellow"/>
        </w:rPr>
        <w:t xml:space="preserve">[CCNL applicato]</w:t>
      </w:r>
      <w:r>
        <w:t xml:space="preserve"> e del nostro </w:t>
      </w:r>
      <w:r>
        <w:rPr>
          <w:color w:val="2650C8"/>
          <w:highlight w:val="yellow"/>
        </w:rPr>
        <w:t xml:space="preserve">[Codice disciplinare]</w:t>
      </w:r>
      <w:r>
        <w:t xml:space="preserve">. La risposta dipende dal fatto che la violazione sia stata intenzionale, dalla tempestività della segnalazione e dal danno causato. </w:t>
      </w:r>
      <w:r>
        <w:rPr>
          <w:color w:val="2650C8"/>
          <w:highlight w:val="yellow"/>
        </w:rPr>
        <w:t xml:space="preserve">[Per dare rilievo disciplinare alla policy, pubblicatela con le stesse modalità del codice disciplinare.]</w:t>
      </w:r>
    </w:p>
    <w:p>
      <w:pPr>
        <w:spacing w:after="120"/>
      </w:pPr>
      <w:r>
        <w:t xml:space="preserve">17.2 Chi nota qualcosa che potrebbe violare questa policy ne parla con il proprio manager o con il responsabile AI, oppure usa la nostra </w:t>
      </w:r>
      <w:r>
        <w:rPr>
          <w:color w:val="2650C8"/>
          <w:highlight w:val="yellow"/>
        </w:rPr>
        <w:t xml:space="preserve">[Procedura di whistleblowing ai sensi del d.lgs. 24/2023]</w:t>
      </w:r>
      <w:r>
        <w:t xml:space="preserve"> quando applicabile.</w:t>
      </w:r>
    </w:p>
    <w:p>
      <w:pPr>
        <w:pStyle w:val="Heading1"/>
      </w:pPr>
      <w:r>
        <w:t xml:space="preserve">18. Revisione</w:t>
      </w:r>
    </w:p>
    <w:p>
      <w:pPr>
        <w:spacing w:after="120"/>
      </w:pPr>
      <w:r>
        <w:t xml:space="preserve">18.1 Il responsabile AI rivede questa policy almeno ogni </w:t>
      </w:r>
      <w:r>
        <w:rPr>
          <w:color w:val="2650C8"/>
          <w:highlight w:val="yellow"/>
        </w:rPr>
        <w:t xml:space="preserve">[12]</w:t>
      </w:r>
      <w:r>
        <w:t xml:space="preserve"> mesi, e prima se adottiamo un tipo di uso dell’AI sostanzialmente nuovo (come agenti di AI o AI nelle decisioni sulle persone), se si verifica un incidente significativo o se cambiano le norme o le linee guida applicabili.</w:t>
      </w:r>
    </w:p>
    <w:p>
      <w:pPr>
        <w:spacing w:after="120"/>
      </w:pPr>
      <w:r>
        <w:t xml:space="preserve">18.2 L’elenco degli strumenti approvati e il registro dell’AI si aggiornano quando uno strumento viene approvato o dismesso, senza una revisione completa della policy. Le modifiche alla policy sono approvate dal dirigente responsabile e comunicate al </w:t>
      </w:r>
      <w:r>
        <w:rPr>
          <w:color w:val="2650C8"/>
          <w:highlight w:val="yellow"/>
        </w:rPr>
        <w:t xml:space="preserve">[Consiglio di amministrazione / comitato controllo e rischi]</w:t>
      </w:r>
      <w:r>
        <w:t xml:space="preserve">.</w:t>
      </w:r>
    </w:p>
    <w:p>
      <w:pPr>
        <w:pStyle w:val="Heading1"/>
      </w:pPr>
      <w:r>
        <w:t xml:space="preserve">19. Domande</w:t>
      </w:r>
    </w:p>
    <w:p>
      <w:pPr>
        <w:spacing w:after="120"/>
      </w:pPr>
      <w:r>
        <w:t xml:space="preserve">Le domande su questa policy vanno rivolte a </w:t>
      </w:r>
      <w:r>
        <w:rPr>
          <w:color w:val="2650C8"/>
          <w:highlight w:val="yellow"/>
        </w:rPr>
        <w:t xml:space="preserve">[Nome del responsabile AI]</w:t>
      </w:r>
      <w:r>
        <w:t xml:space="preserve">, </w:t>
      </w:r>
      <w:r>
        <w:rPr>
          <w:color w:val="2650C8"/>
          <w:highlight w:val="yellow"/>
        </w:rPr>
        <w:t xml:space="preserve">[indirizzo email]</w:t>
      </w:r>
      <w:r>
        <w:t xml:space="preserve">.</w:t>
      </w:r>
    </w:p>
    <w:p>
      <w:pPr>
        <w:pStyle w:val="Heading1"/>
      </w:pPr>
      <w:r>
        <w:t xml:space="preserve">Approvazione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Nome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Ruolo</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Firma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Data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Redatta da (responsabile AI)</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[Ruolo]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Approvata da (dirigente responsabile)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[Ruolo]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Presa d’atto (presidente del consiglio o del comitato)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[Ruolo]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[data]</w:t>
            </w:r>
          </w:p>
        </w:tc>
      </w:tr>
    </w:tbl>
    <w:p/>
    <w:p>
      <w:pPr>
        <w:pStyle w:val="Heading2"/>
      </w:pPr>
      <w:r>
        <w:t xml:space="preserve">Storico delle versioni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Versione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Data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Sintesi delle modifiche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Approvata da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[1.0]</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Prima versione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r>
    </w:tbl>
    <w:p/>
    <w:p>
      <w:pPr>
        <w:pStyle w:val="Heading2"/>
      </w:pPr>
      <w:r>
        <w:t xml:space="preserve">Presa visione del personale</w:t>
      </w:r>
    </w:p>
    <w:p>
      <w:pPr>
        <w:spacing w:after="120"/>
      </w:pPr>
      <w:r>
        <w:t xml:space="preserve">Dichiaro di aver letto e compreso la Policy per l’uso dell’AI di </w:t>
      </w:r>
      <w:r>
        <w:rPr>
          <w:color w:val="2650C8"/>
          <w:highlight w:val="yellow"/>
        </w:rPr>
        <w:t xml:space="preserve">[Nome della società]</w:t>
      </w:r>
      <w:r>
        <w:t xml:space="preserve"> e mi impegno a rispettarla.</w:t>
      </w:r>
    </w:p>
    <w:p>
      <w:pPr>
        <w:spacing w:after="120"/>
      </w:pPr>
      <w:r>
        <w:t xml:space="preserve">Nome: </w:t>
      </w:r>
      <w:r>
        <w:rPr>
          <w:color w:val="2650C8"/>
          <w:highlight w:val="yellow"/>
        </w:rPr>
        <w:t xml:space="preserve">[Nome]</w:t>
      </w:r>
    </w:p>
    <w:p>
      <w:pPr>
        <w:spacing w:after="120"/>
      </w:pPr>
      <w:r>
        <w:t xml:space="preserve">Ruolo: </w:t>
      </w:r>
      <w:r>
        <w:rPr>
          <w:color w:val="2650C8"/>
          <w:highlight w:val="yellow"/>
        </w:rPr>
        <w:t xml:space="preserve">[Ruolo]</w:t>
      </w:r>
    </w:p>
    <w:p>
      <w:pPr>
        <w:spacing w:after="120"/>
      </w:pPr>
      <w:r>
        <w:t xml:space="preserve">Firma: ____________________</w:t>
      </w:r>
    </w:p>
    <w:p>
      <w:pPr>
        <w:spacing w:after="120"/>
      </w:pPr>
      <w:r>
        <w:t xml:space="preserve">Data: </w:t>
      </w:r>
      <w:r>
        <w:rPr>
          <w:color w:val="2650C8"/>
          <w:highlight w:val="yellow"/>
        </w:rPr>
        <w:t xml:space="preserve">[data]</w:t>
      </w:r>
    </w:p>
    <w:sectPr>
      <w:footerReference w:type="default" r:id="rId6"/>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Modello di samakbari.com · Informazioni generali, non consulenza legale · Pagina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0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pPr>
      <w:spacing w:after="240"/>
    </w:pPr>
    <w:rPr>
      <w:rFonts w:ascii="Calibri" w:cs="Calibri" w:eastAsia="Calibri" w:hAnsi="Calibri"/>
      <w:b/>
      <w:bCs/>
      <w:color w:val="0E1B2E"/>
      <w:sz w:val="44"/>
      <w:szCs w:val="44"/>
    </w:rPr>
  </w:style>
  <w:style w:type="paragraph" w:styleId="Heading1">
    <w:name w:val="Heading 1"/>
    <w:pPr>
      <w:spacing w:after="140" w:before="320"/>
    </w:pPr>
    <w:rPr>
      <w:rFonts w:ascii="Calibri" w:cs="Calibri" w:eastAsia="Calibri" w:hAnsi="Calibri"/>
      <w:b/>
      <w:bCs/>
      <w:color w:val="0E1B2E"/>
      <w:sz w:val="30"/>
      <w:szCs w:val="30"/>
    </w:rPr>
  </w:style>
  <w:style w:type="paragraph" w:styleId="Heading2">
    <w:name w:val="Heading 2"/>
    <w:pPr>
      <w:spacing w:after="100" w:before="220"/>
    </w:pPr>
    <w:rPr>
      <w:rFonts w:ascii="Calibri" w:cs="Calibri" w:eastAsia="Calibri" w:hAnsi="Calibri"/>
      <w:b/>
      <w:bCs/>
      <w:color w:val="0E1B2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policy per l’uso dell’AI</dc:title>
  <dc:creator>Sam Akbari, samakbari.com</dc:creator>
  <cp:lastModifiedBy>Un-named</cp:lastModifiedBy>
  <cp:revision>1</cp:revision>
  <dcterms:created xsi:type="dcterms:W3CDTF">2026-10-21T06:22:02.356Z</dcterms:created>
  <dcterms:modified xsi:type="dcterms:W3CDTF">2026-10-21T06:22:02.356Z</dcterms:modified>
</cp:coreProperties>
</file>

<file path=docProps/custom.xml><?xml version="1.0" encoding="utf-8"?>
<Properties xmlns="http://schemas.openxmlformats.org/officeDocument/2006/custom-properties" xmlns:vt="http://schemas.openxmlformats.org/officeDocument/2006/docPropsVTypes"/>
</file>