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Política de uso de la inteligencia artificial: </w:t>
      </w:r>
      <w:r>
        <w:rPr>
          <w:color w:val="2650C8"/>
          <w:highlight w:val="yellow"/>
        </w:rPr>
        <w:t xml:space="preserve">[Nombre de la empresa]</w:t>
      </w:r>
    </w:p>
    <w:p>
      <w:pPr>
        <w:spacing w:after="120"/>
      </w:pPr>
      <w:r>
        <w:rPr>
          <w:b/>
          <w:bCs/>
        </w:rPr>
        <w:t xml:space="preserve">Versión:</w:t>
      </w:r>
      <w:r>
        <w:t xml:space="preserve"> </w:t>
      </w:r>
      <w:r>
        <w:rPr>
          <w:color w:val="2650C8"/>
          <w:highlight w:val="yellow"/>
        </w:rPr>
        <w:t xml:space="preserve">[1.0]</w:t>
      </w:r>
    </w:p>
    <w:p>
      <w:pPr>
        <w:spacing w:after="120"/>
      </w:pPr>
      <w:r>
        <w:rPr>
          <w:b/>
          <w:bCs/>
        </w:rPr>
        <w:t xml:space="preserve">Aprobada por:</w:t>
      </w:r>
      <w:r>
        <w:t xml:space="preserve"> </w:t>
      </w:r>
      <w:r>
        <w:rPr>
          <w:color w:val="2650C8"/>
          <w:highlight w:val="yellow"/>
        </w:rPr>
        <w:t xml:space="preserve">[Nombre y cargo del responsable ejecutivo]</w:t>
      </w:r>
    </w:p>
    <w:p>
      <w:pPr>
        <w:spacing w:after="120"/>
      </w:pPr>
      <w:r>
        <w:rPr>
          <w:b/>
          <w:bCs/>
        </w:rPr>
        <w:t xml:space="preserve">Fecha de aprobación:</w:t>
      </w:r>
      <w:r>
        <w:t xml:space="preserve"> </w:t>
      </w:r>
      <w:r>
        <w:rPr>
          <w:color w:val="2650C8"/>
          <w:highlight w:val="yellow"/>
        </w:rPr>
        <w:t xml:space="preserve">[fecha]</w:t>
      </w:r>
    </w:p>
    <w:p>
      <w:pPr>
        <w:spacing w:after="120"/>
      </w:pPr>
      <w:r>
        <w:rPr>
          <w:b/>
          <w:bCs/>
        </w:rPr>
        <w:t xml:space="preserve">Próxima revisión:</w:t>
      </w:r>
      <w:r>
        <w:t xml:space="preserve"> </w:t>
      </w:r>
      <w:r>
        <w:rPr>
          <w:color w:val="2650C8"/>
          <w:highlight w:val="yellow"/>
        </w:rPr>
        <w:t xml:space="preserve">[fecha, como máximo 12 meses después de la aprobación]</w:t>
      </w:r>
    </w:p>
    <w:p>
      <w:pPr>
        <w:spacing w:after="120"/>
      </w:pPr>
      <w:r>
        <w:rPr>
          <w:b/>
          <w:bCs/>
        </w:rPr>
        <w:t xml:space="preserve">Responsable de la política:</w:t>
      </w:r>
      <w:r>
        <w:t xml:space="preserve"> </w:t>
      </w:r>
      <w:r>
        <w:rPr>
          <w:color w:val="2650C8"/>
          <w:highlight w:val="yellow"/>
        </w:rPr>
        <w:t xml:space="preserve">[Nombre y cargo del responsable de IA]</w:t>
      </w:r>
    </w:p>
    <w:p>
      <w:pPr>
        <w:pStyle w:val="Heading1"/>
      </w:pPr>
      <w:r>
        <w:t xml:space="preserve">Cómo usar esta plantilla</w:t>
      </w:r>
    </w:p>
    <w:p>
      <w:pPr>
        <w:spacing w:after="120"/>
      </w:pPr>
      <w:r>
        <w:t xml:space="preserve">Esta plantilla es un punto de partida para una empresa española de entre 50 y 500 empleados, aproximadamente. Sustituya todo lo que aparece </w:t>
      </w:r>
      <w:r>
        <w:rPr>
          <w:color w:val="2650C8"/>
          <w:highlight w:val="yellow"/>
        </w:rPr>
        <w:t xml:space="preserve">[entre corchetes]</w:t>
      </w:r>
      <w:r>
        <w:t xml:space="preserve"> por sus propios datos, elimine los ejemplos que no encajen y añada lo específico de su sector o de sus clientes. Manténgala breve: una política que los empleados leen es mejor que una larga que nadie abre.</w:t>
      </w:r>
    </w:p>
    <w:p>
      <w:pPr>
        <w:spacing w:after="120"/>
      </w:pPr>
      <w:r>
        <w:t xml:space="preserve">Está pensada para complementar, no sustituir, sus obligaciones conforme al Reglamento (UE) 2024/1689 de inteligencia artificial (Reglamento Europeo de IA, modificado por el Reglamento (UE) 2026/1744), al Reglamento General de Protección de Datos (RGPD), a la Ley Orgánica 3/2018 de Protección de Datos Personales y garantía de los derechos digitales (LOPDGDD) y al Estatuto de los Trabajadores, así como sus políticas de privacidad, seguridad y conducta. Las guías de la Agencia Española de Supervisión de Inteligencia Artificial (AESIA) y las recomendaciones de la Agencia Española de Protección de Datos (AEPD) son buenas referencias complementarias.</w:t>
      </w:r>
    </w:p>
    <w:p>
      <w:pPr>
        <w:spacing w:after="120"/>
      </w:pPr>
      <w:r>
        <w:t xml:space="preserve">Esta plantilla es información general, no asesoramiento jurídico. Adáptela con sus asesores jurídicos, su delegado de protección de datos y sus responsables de seguridad antes de aprobarla, y consulte con la representación legal de los trabajadores lo que corresponda.</w:t>
      </w:r>
    </w:p>
    <w:p>
      <w:pPr>
        <w:spacing w:after="120"/>
      </w:pPr>
      <w:r>
        <w:t xml:space="preserve">Elimine esta sección antes de publicar la política.</w:t>
      </w:r>
    </w:p>
    <w:p>
      <w:pPr>
        <w:pStyle w:val="Heading1"/>
      </w:pPr>
      <w:r>
        <w:t xml:space="preserve">1. Objeto y ámbito</w:t>
      </w:r>
    </w:p>
    <w:p>
      <w:pPr>
        <w:spacing w:after="120"/>
      </w:pPr>
      <w:r>
        <w:t xml:space="preserve">1.1 </w:t>
      </w:r>
      <w:r>
        <w:rPr>
          <w:color w:val="2650C8"/>
          <w:highlight w:val="yellow"/>
        </w:rPr>
        <w:t xml:space="preserve">[Nombre de la empresa]</w:t>
      </w:r>
      <w:r>
        <w:t xml:space="preserve"> utiliza la inteligencia artificial (IA) para trabajar con más eficiencia y atender mejor a nuestros clientes. Esta política establece cómo lo hacemos de forma segura, conforme a la ley y de un modo en el que puedan confiar nuestros clientes, nuestra plantilla y nuestros socios.</w:t>
      </w:r>
    </w:p>
    <w:p>
      <w:pPr>
        <w:spacing w:after="120"/>
      </w:pPr>
      <w:r>
        <w:t xml:space="preserve">1.2 En esta política, «herramienta de IA» significa cualquier software que genera, resume, analiza, predice o recomienda contenidos o decisiones mediante IA. Incluye los chatbots y los asistentes de redacción, imagen, transcripción y programación; las funciones de IA integradas en el software que ya usamos, como </w:t>
      </w:r>
      <w:r>
        <w:rPr>
          <w:color w:val="2650C8"/>
          <w:highlight w:val="yellow"/>
        </w:rPr>
        <w:t xml:space="preserve">[correo electrónico, CRM o plataformas de recursos humanos]</w:t>
      </w:r>
      <w:r>
        <w:t xml:space="preserve">; y los agentes y automatizaciones de IA que realizan acciones en nuestros sistemas.</w:t>
      </w:r>
    </w:p>
    <w:p>
      <w:pPr>
        <w:spacing w:after="120"/>
      </w:pPr>
      <w:r>
        <w:t xml:space="preserve">1.3 Esta política se aplica al uso de herramientas de IA en cualquier trabajo para </w:t>
      </w:r>
      <w:r>
        <w:rPr>
          <w:color w:val="2650C8"/>
          <w:highlight w:val="yellow"/>
        </w:rPr>
        <w:t xml:space="preserve">[Nombre de la empresa]</w:t>
      </w:r>
      <w:r>
        <w:t xml:space="preserve">, en cualquier dispositivo, tanto si la herramienta la proporciona la empresa como si no. Nuestra </w:t>
      </w:r>
      <w:r>
        <w:rPr>
          <w:color w:val="2650C8"/>
          <w:highlight w:val="yellow"/>
        </w:rPr>
        <w:t xml:space="preserve">[Política de privacidad]</w:t>
      </w:r>
      <w:r>
        <w:t xml:space="preserve">, nuestra </w:t>
      </w:r>
      <w:r>
        <w:rPr>
          <w:color w:val="2650C8"/>
          <w:highlight w:val="yellow"/>
        </w:rPr>
        <w:t xml:space="preserve">[Política de seguridad de la información]</w:t>
      </w:r>
      <w:r>
        <w:t xml:space="preserve">, nuestro </w:t>
      </w:r>
      <w:r>
        <w:rPr>
          <w:color w:val="2650C8"/>
          <w:highlight w:val="yellow"/>
        </w:rPr>
        <w:t xml:space="preserve">[Código de conducta]</w:t>
      </w:r>
      <w:r>
        <w:t xml:space="preserve"> y nuestra </w:t>
      </w:r>
      <w:r>
        <w:rPr>
          <w:color w:val="2650C8"/>
          <w:highlight w:val="yellow"/>
        </w:rPr>
        <w:t xml:space="preserve">[Política de gestión documental]</w:t>
      </w:r>
      <w:r>
        <w:t xml:space="preserve"> siguen aplicándose cuando se usa IA.</w:t>
      </w:r>
    </w:p>
    <w:p>
      <w:pPr>
        <w:spacing w:after="120"/>
      </w:pPr>
      <w:r>
        <w:t xml:space="preserve">1.4 A efectos del Reglamento Europeo de IA, cuando utilizamos un sistema de IA bajo nuestra autoridad somos «responsables del despliegue». Si pusiéramos nuestro nombre o marca a un sistema de IA de alto riesgo, lo modificáramos sustancialmente o cambiáramos su finalidad de forma que pasara a ser de alto riesgo, asumiríamos las obligaciones de un proveedor (artículo 25). Ningún cambio de ese tipo puede hacerse sin la aprobación prevista en la sección 4.</w:t>
      </w:r>
    </w:p>
    <w:p>
      <w:pPr>
        <w:pStyle w:val="Heading1"/>
      </w:pPr>
      <w:r>
        <w:t xml:space="preserve">2. A quién se aplica esta política</w:t>
      </w:r>
    </w:p>
    <w:p>
      <w:pPr>
        <w:spacing w:after="120"/>
      </w:pPr>
      <w:r>
        <w:t xml:space="preserve">2.1 Esta política se aplica a los trabajadores de </w:t>
      </w:r>
      <w:r>
        <w:rPr>
          <w:color w:val="2650C8"/>
          <w:highlight w:val="yellow"/>
        </w:rPr>
        <w:t xml:space="preserve">[Nombre de la empresa]</w:t>
      </w:r>
      <w:r>
        <w:t xml:space="preserve"> (con contrato indefinido, temporal o a tiempo parcial), a los consejeros y directivos, a los becarios, a los profesionales autónomos, consultores y colaboradores externos, y a </w:t>
      </w:r>
      <w:r>
        <w:rPr>
          <w:color w:val="2650C8"/>
          <w:highlight w:val="yellow"/>
        </w:rPr>
        <w:t xml:space="preserve">[otros colectivos, como el personal puesto a disposición por empresas de trabajo temporal]</w:t>
      </w:r>
      <w:r>
        <w:t xml:space="preserve">.</w:t>
      </w:r>
    </w:p>
    <w:p>
      <w:pPr>
        <w:spacing w:after="120"/>
      </w:pPr>
      <w:r>
        <w:t xml:space="preserve">2.2 Los responsables que contraten a colaboradores o proveedores que vayan a usar IA en nuestro trabajo o con nuestros datos deben asegurarse de que conocen esta política y de que nuestros contratos la recogen cuando sea necesario, incluido un contrato de encargo del tratamiento (artículo 28 del RGPD) cuando traten datos personales por nuestra cuenta.</w:t>
      </w:r>
    </w:p>
    <w:p>
      <w:pPr>
        <w:pStyle w:val="Heading1"/>
      </w:pPr>
      <w:r>
        <w:t xml:space="preserve">3. Funciones y responsabilidades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Función</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Quién</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Responsabilidades</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Consejo de administración</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[Consejo de administración o Comisión de Auditoría]</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Supervisa cómo se usa y se gobierna la IA, como parte de la política de control y gestión de riesgos. Recibe un informe sobre usos, riesgos e incidentes de IA al menos </w:t>
            </w:r>
            <w:r>
              <w:rPr>
                <w:color w:val="2650C8"/>
                <w:highlight w:val="yellow"/>
              </w:rPr>
              <w:t xml:space="preserve">[trimestralmente]</w:t>
            </w:r>
            <w:r>
              <w:t xml:space="preserve">. Revisa esta política y el registro de IA al menos </w:t>
            </w:r>
            <w:r>
              <w:rPr>
                <w:color w:val="2650C8"/>
                <w:highlight w:val="yellow"/>
              </w:rPr>
              <w:t xml:space="preserve">[anualmente]</w:t>
            </w:r>
            <w:r>
              <w:t xml:space="preserve">.</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Responsable ejecutivo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[Nombre y cargo, p. ej. consejero delegado o director general]</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Es el responsable último del uso de la IA en </w:t>
            </w:r>
            <w:r>
              <w:rPr>
                <w:color w:val="2650C8"/>
                <w:highlight w:val="yellow"/>
              </w:rPr>
              <w:t xml:space="preserve">[Nombre de la empresa]</w:t>
            </w:r>
            <w:r>
              <w:t xml:space="preserve">. Aprueba esta política, fija nuestro apetito de riesgo en IA y aprueba los usos de mayor riesgo.</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Responsable de IA</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[Nombre y cargo]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Aplica esta política en el día a día. Mantiene la lista de herramientas aprobadas y el registro de IA, revisa las solicitudes de nuevas herramientas y usos, coordina incidentes y formación, e informa al responsable ejecutivo y al consejo.</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Responsables de sistema</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[Designados para cada sistema de IA del registro]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Son responsables de un sistema o uso concreto. Se aseguran de que se prueba antes de su puesta en marcha, se vigila después y se utiliza según lo aprobado y según las instrucciones del proveedor. En los sistemas de alto riesgo, ejercen o asignan la supervisión humana.</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Mandos</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Todas las personas con equipo a su cargo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Se aseguran de que sus equipos conocen y cumplen esta política, aprueban el uso de la IA en su área cuando esta política lo permite y trasladan dudas o incidentes al responsable de IA.</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Plantilla</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Todas las personas incluidas en la sección 2</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Usan solo herramientas aprobadas, siguen las reglas sobre datos de la sección 5, revisan los resultados de la IA antes de confiar en ellos e informan de los problemas sin demora.</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Protección de datos y seguridad</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[Delegado de protección de datos; responsable o proveedor de IT y seguridad]</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Asesoran sobre el impacto en la protección de datos, las evaluaciones de impacto y las cláusulas informativas, evalúan la seguridad de las herramientas de IA y gestionan los accesos y los incidentes de seguridad.</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Recursos humanos y relaciones laborales</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[Nombre y cargo]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Coordinan la información a la representación legal de los trabajadores sobre los algoritmos y sistemas de IA que afectan a las condiciones de trabajo, conforme al artículo 64.4.d) del Estatuto de los Trabajadores.</w:t>
            </w:r>
          </w:p>
        </w:tc>
      </w:tr>
    </w:tbl>
    <w:p/>
    <w:p>
      <w:pPr>
        <w:pStyle w:val="Heading1"/>
      </w:pPr>
      <w:r>
        <w:t xml:space="preserve">4. Herramientas aprobadas y aprobación de nuevas herramientas</w:t>
      </w:r>
    </w:p>
    <w:p>
      <w:pPr>
        <w:spacing w:after="120"/>
      </w:pPr>
      <w:r>
        <w:t xml:space="preserve">4.1 Para el trabajo de </w:t>
      </w:r>
      <w:r>
        <w:rPr>
          <w:color w:val="2650C8"/>
          <w:highlight w:val="yellow"/>
        </w:rPr>
        <w:t xml:space="preserve">[Nombre de la empresa]</w:t>
      </w:r>
      <w:r>
        <w:t xml:space="preserve"> solo pueden usarse las herramientas de IA que figuran en la lista de herramientas aprobadas. La lista vigente está en </w:t>
      </w:r>
      <w:r>
        <w:rPr>
          <w:color w:val="2650C8"/>
          <w:highlight w:val="yellow"/>
        </w:rPr>
        <w:t xml:space="preserve">[ubicación, p. ej. página de la intranet o enlace a una carpeta compartida]</w:t>
      </w:r>
      <w:r>
        <w:t xml:space="preserv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77"/>
        <w:gridCol w:w="2377"/>
        <w:gridCol w:w="2377"/>
        <w:gridCol w:w="2377"/>
      </w:tblGrid>
      <w:tr>
        <w:trPr>
          <w:tblHeader/>
        </w:trPr>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Herramienta</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Aprobada para</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Tipo de cuenta</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Notas</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[Nombre de la herramienta]</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[p. ej. redactar y resumir documentos internos]</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[p. ej. licencia corporativa de empresa]</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[p. ej. datos Ámbar permitidos; datos Rojos nunca]</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[Nombre de la herramienta]</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[p. ej. transcripción de reuniones]</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[p. ej. integrada en una plataforma existente]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[p. ej. informar a los asistentes antes de grabar]</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[Nombre de la herramienta]</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[p. ej. asistencia de programación]</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[p. ej. cuenta de empresa, sin entrenamiento con nuestros datos]</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[p. ej. sin credenciales ni datos de producción]</w:t>
            </w:r>
          </w:p>
        </w:tc>
      </w:tr>
    </w:tbl>
    <w:p/>
    <w:p>
      <w:pPr>
        <w:spacing w:after="120"/>
      </w:pPr>
      <w:r>
        <w:t xml:space="preserve">4.2 Utilice siempre su cuenta de </w:t>
      </w:r>
      <w:r>
        <w:rPr>
          <w:color w:val="2650C8"/>
          <w:highlight w:val="yellow"/>
        </w:rPr>
        <w:t xml:space="preserve">[Nombre de la empresa]</w:t>
      </w:r>
      <w:r>
        <w:t xml:space="preserve">, no una cuenta personal, para que se apliquen nuestras condiciones contractuales y nuestra configuración de seguridad.</w:t>
      </w:r>
    </w:p>
    <w:p>
      <w:pPr>
        <w:spacing w:after="120"/>
      </w:pPr>
      <w:r>
        <w:t xml:space="preserve">4.3 Para usar una nueva herramienta de IA, o una herramienta aprobada con una finalidad nueva, solicítelo al responsable de IA a través de </w:t>
      </w:r>
      <w:r>
        <w:rPr>
          <w:color w:val="2650C8"/>
          <w:highlight w:val="yellow"/>
        </w:rPr>
        <w:t xml:space="preserve">[formulario, dirección de correo electrónico o sistema de tickets]</w:t>
      </w:r>
      <w:r>
        <w:t xml:space="preserve">. La solicitud debe indicar qué herramienta es, para qué quiere usarla, qué datos utilizaría y a quién afectaría.</w:t>
      </w:r>
    </w:p>
    <w:p>
      <w:pPr>
        <w:spacing w:after="120"/>
      </w:pPr>
      <w:r>
        <w:t xml:space="preserve">4.4 Antes de aprobar una nueva herramienta o uso, el responsable de IA comprobará qué hace el proveedor con nuestros datos (incluido si los usa para entrenar sus modelos, dónde se almacenan, si salen del Espacio Económico Europeo y quién puede acceder a ellos), las condiciones de seguridad y protección de datos del proveedor, si la herramienta se ha probado para el uso previsto, si el uso es una práctica prohibida o un sistema de alto riesgo según el Reglamento Europeo de IA, el nivel de riesgo (véase 4.5) y cómo revisará una persona los resultados y podrá corregir o detener la herramienta.</w:t>
      </w:r>
    </w:p>
    <w:p>
      <w:pPr>
        <w:spacing w:after="120"/>
      </w:pPr>
      <w:r>
        <w:t xml:space="preserve">4.5 Aplicamos tres niveles de aprobación:</w:t>
      </w:r>
    </w:p>
    <w:p>
      <w:pPr>
        <w:pStyle w:val="ListParagraph"/>
        <w:numPr>
          <w:ilvl w:val="0"/>
          <w:numId w:val="1"/>
        </w:numPr>
      </w:pPr>
      <w:r>
        <w:rPr>
          <w:b/>
          <w:bCs/>
        </w:rPr>
        <w:t xml:space="preserve">Riesgo bajo</w:t>
      </w:r>
      <w:r>
        <w:t xml:space="preserve"> (por ejemplo, redactar documentos internos sin datos personales ni información confidencial): puede aprobarlo el responsable de IA.</w:t>
      </w:r>
    </w:p>
    <w:p>
      <w:pPr>
        <w:pStyle w:val="ListParagraph"/>
        <w:numPr>
          <w:ilvl w:val="0"/>
          <w:numId w:val="1"/>
        </w:numPr>
      </w:pPr>
      <w:r>
        <w:rPr>
          <w:b/>
          <w:bCs/>
        </w:rPr>
        <w:t xml:space="preserve">Riesgo medio</w:t>
      </w:r>
      <w:r>
        <w:t xml:space="preserve"> (por ejemplo, contenidos dirigidos a clientes o usos con datos Ámbar): lo aprueba el responsable de IA tras las comprobaciones de protección de datos y seguridad.</w:t>
      </w:r>
    </w:p>
    <w:p>
      <w:pPr>
        <w:pStyle w:val="ListParagraph"/>
        <w:numPr>
          <w:ilvl w:val="0"/>
          <w:numId w:val="1"/>
        </w:numPr>
      </w:pPr>
      <w:r>
        <w:rPr>
          <w:b/>
          <w:bCs/>
        </w:rPr>
        <w:t xml:space="preserve">Riesgo alto</w:t>
      </w:r>
      <w:r>
        <w:t xml:space="preserve"> (por ejemplo, cualquier uso que tome o fundamente de forma significativa decisiones sobre clientes, candidatos o empleados, o que utilice categorías especiales de datos): lo aprueba el responsable ejecutivo tras una evaluación completa de riesgos y, cuando proceda, una evaluación de impacto relativa a la protección de datos (artículo 35 del RGPD). Si el uso es de alto riesgo según el anexo III del Reglamento Europeo de IA, como la selección de personal, la evaluación del rendimiento, la evaluación de la solvencia o la fijación de precios de seguros de vida y salud, se aplicarán además las obligaciones del artículo 26 de dicho Reglamento y, en su caso, la evaluación de impacto en los derechos fundamentales del artículo 27.</w:t>
      </w:r>
    </w:p>
    <w:p>
      <w:pPr>
        <w:spacing w:after="120"/>
      </w:pPr>
      <w:r>
        <w:t xml:space="preserve">4.6 Las funciones de IA que aparecen en el software que ya usamos se tratan como herramientas nuevas. No las active para datos de </w:t>
      </w:r>
      <w:r>
        <w:rPr>
          <w:color w:val="2650C8"/>
          <w:highlight w:val="yellow"/>
        </w:rPr>
        <w:t xml:space="preserve">[Nombre de la empresa]</w:t>
      </w:r>
      <w:r>
        <w:t xml:space="preserve"> hasta que se hayan aprobado.</w:t>
      </w:r>
    </w:p>
    <w:p>
      <w:pPr>
        <w:spacing w:after="120"/>
      </w:pPr>
      <w:r>
        <w:t xml:space="preserve">4.7 </w:t>
      </w:r>
      <w:r>
        <w:rPr>
          <w:b/>
          <w:bCs/>
        </w:rPr>
        <w:t xml:space="preserve">Usos prohibidos.</w:t>
      </w:r>
      <w:r>
        <w:t xml:space="preserve"> Nunca utilizaremos la IA para prácticas prohibidas por el artículo 5 del Reglamento Europeo de IA, entre ellas: inferir las emociones de las personas en el lugar de trabajo (salvo por motivos médicos o de seguridad); clasificar a las personas por su comportamiento social o sus características personales de forma que reciban un trato perjudicial (puntuación social); usar técnicas subliminales, manipuladoras o engañosas, o aprovechar vulnerabilidades por edad, discapacidad o situación social o económica, para alterar el comportamiento de las personas de forma perjudicial; categorizar a las personas a partir de datos biométricos para deducir su origen racial, opiniones políticas, afiliación sindical, convicciones religiosas, vida u orientación sexual; y generar imágenes, vídeos o audios íntimos o sexualmente explícitos de una persona identificable sin su consentimiento.</w:t>
      </w:r>
    </w:p>
    <w:p>
      <w:pPr>
        <w:pStyle w:val="Heading1"/>
      </w:pPr>
      <w:r>
        <w:t xml:space="preserve">5. Qué puede y qué no puede introducir en las herramientas de IA</w:t>
      </w:r>
    </w:p>
    <w:p>
      <w:pPr>
        <w:spacing w:after="120"/>
      </w:pPr>
      <w:r>
        <w:t xml:space="preserve">5.1 Lo que introduce en una herramienta de IA puede almacenarse, ser visto por el proveedor o utilizarse de formas que no controlamos. Siga esta guía tipo semáforo. Si tiene dudas, trátelo como Rojo y consulte al responsable de IA.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Qué significa</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Ejemplos</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Verde: permitido en cualquier herramienta aprobada</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Información pública o no sensible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Contenido publicado en la web, informes públicos, preguntas de investigación generales, sus propios borradores sin datos de clientes ni personales, plantillas genéricas</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Ámbar: solo en herramientas corporativas aprobadas y para una finalidad aprobada</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Información interna o confidencial de la empresa, o datos personales limitados cuando el uso está aprobado y tiene base jurídica</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Planes y procedimientos internos, datos seudonimizados o anonimizados, documentos de clientes cuando el contrato lo permite, nombres y datos de contacto profesional de la plantilla para tareas rutinarias</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Rojo: nunca, salvo autorización expresa y por escrito del responsable ejecutivo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Información que podría causar un daño grave si se expone o se usa indebidamente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Categorías especiales de datos (salud, origen étnico o racial, opiniones políticas, convicciones religiosas o filosóficas, afiliación sindical, datos genéticos o biométricos, vida u orientación sexual), datos sobre condenas e infracciones penales, DNI, NIE, pasaporte o número de la Seguridad Social, datos de cuentas bancarias o tarjetas, contraseñas, claves API y otras credenciales, datos de clientes cuando el contrato lo prohíbe, asesoramiento jurídico confidencial, información privilegiada y resultados financieros no publicados, código fuente de </w:t>
            </w:r>
            <w:r>
              <w:rPr>
                <w:color w:val="2650C8"/>
                <w:highlight w:val="yellow"/>
              </w:rPr>
              <w:t xml:space="preserve">[producto principal]</w:t>
            </w:r>
          </w:p>
        </w:tc>
      </w:tr>
    </w:tbl>
    <w:p/>
    <w:p>
      <w:pPr>
        <w:spacing w:after="120"/>
      </w:pPr>
      <w:r>
        <w:t xml:space="preserve">5.2 Nunca introduzca datos personales, y en especial categorías especiales de datos, en herramientas de IA públicas o gratuitas. Así lo recomienda también la AEPD.</w:t>
      </w:r>
    </w:p>
    <w:p>
      <w:pPr>
        <w:spacing w:after="120"/>
      </w:pPr>
      <w:r>
        <w:t xml:space="preserve">5.3 Nunca introduzca contraseñas, tokens de acceso, claves API ni otras credenciales en ninguna herramienta de IA.</w:t>
      </w:r>
    </w:p>
    <w:p>
      <w:pPr>
        <w:spacing w:after="120"/>
      </w:pPr>
      <w:r>
        <w:t xml:space="preserve">5.4 Revise los contratos con clientes antes de usar su información en cualquier herramienta de IA. Algunos clientes lo prohíben o exigen su consentimiento.</w:t>
      </w:r>
    </w:p>
    <w:p>
      <w:pPr>
        <w:spacing w:after="120"/>
      </w:pPr>
      <w:r>
        <w:t xml:space="preserve">5.5 Siempre que pueda, elimine nombres y datos identificativos antes de usar la información en una herramienta de IA, y utilice solo la información mínima necesaria para la tarea (principio de minimización de datos).</w:t>
      </w:r>
    </w:p>
    <w:p>
      <w:pPr>
        <w:pStyle w:val="Heading1"/>
      </w:pPr>
      <w:r>
        <w:t xml:space="preserve">6. Revisión humana y exactitud</w:t>
      </w:r>
    </w:p>
    <w:p>
      <w:pPr>
        <w:spacing w:after="120"/>
      </w:pPr>
      <w:r>
        <w:t xml:space="preserve">6.1 Usted es responsable de cualquier trabajo que elabore con IA, igual que si lo hubiera hecho sin ella.</w:t>
      </w:r>
    </w:p>
    <w:p>
      <w:pPr>
        <w:spacing w:after="120"/>
      </w:pPr>
      <w:r>
        <w:t xml:space="preserve">6.2 Las herramientas de IA pueden equivocarse, estar desactualizadas o tener sesgos, y pueden inventar información con total seguridad. Antes de confiar en un resultado de la IA o de compartirlo, compruebe los hechos, las cifras, los nombres, las referencias y las citas, y revise que no haya nada inapropiado, injusto o engañoso.</w:t>
      </w:r>
    </w:p>
    <w:p>
      <w:pPr>
        <w:spacing w:after="120"/>
      </w:pPr>
      <w:r>
        <w:t xml:space="preserve">6.3 Ajuste la revisión a lo que está en juego. Una lluvia de ideas necesita una lectura rápida; el asesoramiento a clientes, las cifras financieras, los contenidos jurídicos y todo lo que se publica necesitan una revisión cuidadosa por parte de alguien con la experiencia adecuada.</w:t>
      </w:r>
    </w:p>
    <w:p>
      <w:pPr>
        <w:spacing w:after="120"/>
      </w:pPr>
      <w:r>
        <w:t xml:space="preserve">6.4 La IA no debe tomar decisiones definitivas que afecten de forma significativa a una persona, como la contratación, la evaluación del rendimiento, el crédito o el acceso a un servicio, sin que una persona revise el resultado y pueda cambiarlo. Las personas afectadas tienen derecho a obtener intervención humana, a expresar su punto de vista y a impugnar la decisión (artículo 22 del RGPD). Una persona debe poder pausar o detener cualquier sistema de IA que realice acciones en nuestros sistemas.</w:t>
      </w:r>
    </w:p>
    <w:p>
      <w:pPr>
        <w:spacing w:after="120"/>
      </w:pPr>
      <w:r>
        <w:t xml:space="preserve">6.5 En los sistemas de alto riesgo, la supervisión humana se asigna a personas con la competencia, la formación y la autoridad necesarias, y el sistema se usa conforme a las instrucciones del proveedor (artículo 26 del Reglamento Europeo de IA).</w:t>
      </w:r>
    </w:p>
    <w:p>
      <w:pPr>
        <w:pStyle w:val="Heading1"/>
      </w:pPr>
      <w:r>
        <w:t xml:space="preserve">7. Transparencia</w:t>
      </w:r>
    </w:p>
    <w:p>
      <w:pPr>
        <w:spacing w:after="120"/>
      </w:pPr>
      <w:r>
        <w:t xml:space="preserve">7.1 Informaremos a los clientes y al público cuando:</w:t>
      </w:r>
    </w:p>
    <w:p>
      <w:pPr>
        <w:pStyle w:val="ListParagraph"/>
        <w:numPr>
          <w:ilvl w:val="0"/>
          <w:numId w:val="1"/>
        </w:numPr>
      </w:pPr>
      <w:r>
        <w:t xml:space="preserve">estén interactuando con una IA y no con una persona, como un chatbot. Los chatbots deben identificarse claramente como IA.</w:t>
      </w:r>
    </w:p>
    <w:p>
      <w:pPr>
        <w:pStyle w:val="ListParagraph"/>
        <w:numPr>
          <w:ilvl w:val="0"/>
          <w:numId w:val="1"/>
        </w:numPr>
      </w:pPr>
      <w:r>
        <w:t xml:space="preserve">se haya usado la IA para tomar o fundamentar de forma significativa una decisión que les afecte.</w:t>
      </w:r>
    </w:p>
    <w:p>
      <w:pPr>
        <w:pStyle w:val="ListParagraph"/>
        <w:numPr>
          <w:ilvl w:val="0"/>
          <w:numId w:val="1"/>
        </w:numPr>
      </w:pPr>
      <w:r>
        <w:t xml:space="preserve">un contenido haya sido generado o manipulado con IA y constituya una ultrasuplantación (deepfake) de personas, objetos, lugares o hechos reales, o se trate de un texto publicado para informar al público sobre asuntos de interés público sin revisión humana ni responsabilidad editorial, conforme al artículo 50 del Reglamento Europeo de IA.</w:t>
      </w:r>
    </w:p>
    <w:p>
      <w:pPr>
        <w:spacing w:after="120"/>
      </w:pPr>
      <w:r>
        <w:t xml:space="preserve">7.2 Si en algún momento usamos un sistema de reconocimiento de emociones o de categorización biométrica permitido por la ley, informaremos de su funcionamiento a las personas expuestas a él.</w:t>
      </w:r>
    </w:p>
    <w:p>
      <w:pPr>
        <w:spacing w:after="120"/>
      </w:pPr>
      <w:r>
        <w:t xml:space="preserve">7.3 Informe a sus compañeros cuando el trabajo que les entregue se haya elaborado en gran parte con IA, y cumpla los requisitos de los clientes sobre la comunicación del uso de la IA.</w:t>
      </w:r>
    </w:p>
    <w:p>
      <w:pPr>
        <w:spacing w:after="120"/>
      </w:pPr>
      <w:r>
        <w:t xml:space="preserve">7.4 Cualquier persona afectada por una decisión asistida por IA debe poder hacer preguntas sobre ella y hablar con una persona. Contacto: </w:t>
      </w:r>
      <w:r>
        <w:rPr>
          <w:color w:val="2650C8"/>
          <w:highlight w:val="yellow"/>
        </w:rPr>
        <w:t xml:space="preserve">[dirección de correo electrónico o equipo]</w:t>
      </w:r>
      <w:r>
        <w:t xml:space="preserve">.</w:t>
      </w:r>
    </w:p>
    <w:p>
      <w:pPr>
        <w:spacing w:after="120"/>
      </w:pPr>
      <w:r>
        <w:t xml:space="preserve">7.5 Antes de usar en el lugar de trabajo un algoritmo o sistema de IA que afecte a las condiciones de trabajo o al acceso y mantenimiento del empleo, incluida la elaboración de perfiles, </w:t>
      </w:r>
      <w:r>
        <w:rPr>
          <w:color w:val="2650C8"/>
          <w:highlight w:val="yellow"/>
        </w:rPr>
        <w:t xml:space="preserve">[Recursos humanos]</w:t>
      </w:r>
      <w:r>
        <w:t xml:space="preserve"> informará a la representación legal de los trabajadores de sus parámetros, reglas e instrucciones (artículo 64.4.d) del Estatuto de los Trabajadores) y, si es un sistema de alto riesgo, a los trabajadores afectados (artículo 26.7 del Reglamento Europeo de IA).</w:t>
      </w:r>
    </w:p>
    <w:p>
      <w:pPr>
        <w:pStyle w:val="Heading1"/>
      </w:pPr>
      <w:r>
        <w:t xml:space="preserve">8. Protección de datos</w:t>
      </w:r>
    </w:p>
    <w:p>
      <w:pPr>
        <w:spacing w:after="120"/>
      </w:pPr>
      <w:r>
        <w:t xml:space="preserve">8.1 El RGPD y la LOPDGDD se aplican a todos los usos de la IA que impliquen datos personales. Eso incluye los datos que introducimos en las herramientas de IA y cualquier resultado que contenga datos personales de una persona identificada o identificable.</w:t>
      </w:r>
    </w:p>
    <w:p>
      <w:pPr>
        <w:spacing w:after="120"/>
      </w:pPr>
      <w:r>
        <w:t xml:space="preserve">8.2 De acuerdo con el RGPD y las recomendaciones de la AEPD, nos comprometemos a:</w:t>
      </w:r>
    </w:p>
    <w:p>
      <w:pPr>
        <w:pStyle w:val="ListParagraph"/>
        <w:numPr>
          <w:ilvl w:val="0"/>
          <w:numId w:val="1"/>
        </w:numPr>
      </w:pPr>
      <w:r>
        <w:t xml:space="preserve">usar datos personales en herramientas de IA solo con una base jurídica válida y para la finalidad para la que se recogieron o una compatible con ella (artículos 5 y 6 del RGPD)</w:t>
      </w:r>
    </w:p>
    <w:p>
      <w:pPr>
        <w:pStyle w:val="ListParagraph"/>
        <w:numPr>
          <w:ilvl w:val="0"/>
          <w:numId w:val="1"/>
        </w:numPr>
      </w:pPr>
      <w:r>
        <w:t xml:space="preserve">tratar los datos personales que la IA genere o infiera sobre una persona como un nuevo tratamiento, que debe ser necesario, lícito y leal</w:t>
      </w:r>
    </w:p>
    <w:p>
      <w:pPr>
        <w:pStyle w:val="ListParagraph"/>
        <w:numPr>
          <w:ilvl w:val="0"/>
          <w:numId w:val="1"/>
        </w:numPr>
      </w:pPr>
      <w:r>
        <w:t xml:space="preserve">mantener exactos y seguros los datos personales usados con IA (artículos 5 y 32 del RGPD)</w:t>
      </w:r>
    </w:p>
    <w:p>
      <w:pPr>
        <w:pStyle w:val="ListParagraph"/>
        <w:numPr>
          <w:ilvl w:val="0"/>
          <w:numId w:val="1"/>
        </w:numPr>
      </w:pPr>
      <w:r>
        <w:t xml:space="preserve">incluir los usos de la IA con datos personales en el registro de actividades de tratamiento (artículo 30 del RGPD)</w:t>
      </w:r>
    </w:p>
    <w:p>
      <w:pPr>
        <w:pStyle w:val="ListParagraph"/>
        <w:numPr>
          <w:ilvl w:val="0"/>
          <w:numId w:val="1"/>
        </w:numPr>
      </w:pPr>
      <w:r>
        <w:t xml:space="preserve">formalizar un contrato de encargo del tratamiento con los proveedores de IA que traten datos personales por nuestra cuenta, y comprobar las garantías de cualquier transferencia internacional de datos</w:t>
      </w:r>
    </w:p>
    <w:p>
      <w:pPr>
        <w:pStyle w:val="ListParagraph"/>
        <w:numPr>
          <w:ilvl w:val="0"/>
          <w:numId w:val="1"/>
        </w:numPr>
      </w:pPr>
      <w:r>
        <w:t xml:space="preserve">actualizar nuestra política de privacidad y nuestras cláusulas informativas para explicar cómo usamos la IA.</w:t>
      </w:r>
    </w:p>
    <w:p>
      <w:pPr>
        <w:spacing w:after="120"/>
      </w:pPr>
      <w:r>
        <w:t xml:space="preserve">8.3 </w:t>
      </w:r>
      <w:r>
        <w:rPr>
          <w:b/>
          <w:bCs/>
        </w:rPr>
        <w:t xml:space="preserve">Decisiones automatizadas.</w:t>
      </w:r>
      <w:r>
        <w:t xml:space="preserve"> Si tomamos decisiones basadas únicamente en un tratamiento automatizado, incluida la elaboración de perfiles, que produzcan efectos jurídicos en las personas o les afecten significativamente de modo similar, solo lo haremos en los casos que permite el artículo 22 del RGPD, con las garantías que exige, y nuestras cláusulas informativas explicarán la existencia de esas decisiones, la lógica aplicada y su importancia y consecuencias previstas (artículos 13 y 14 del RGPD). El responsable de IA y el delegado de protección de datos usarán el registro de IA para mantener esa información actualizada.</w:t>
      </w:r>
    </w:p>
    <w:p>
      <w:pPr>
        <w:spacing w:after="120"/>
      </w:pPr>
      <w:r>
        <w:t xml:space="preserve">8.4 Antes de poner en marcha cualquier uso nuevo de la IA con datos personales, el responsable de IA consultará al delegado de protección de datos si es necesaria una evaluación de impacto relativa a la protección de datos (artículo 35 del RGPD). Esta política la exige en todos los usos de riesgo alto con datos personales, y puede servir de base para la evaluación de impacto en los derechos fundamentales cuando esta sea exigible.</w:t>
      </w:r>
    </w:p>
    <w:p>
      <w:pPr>
        <w:pStyle w:val="Heading1"/>
      </w:pPr>
      <w:r>
        <w:t xml:space="preserve">9. Seguridad</w:t>
      </w:r>
    </w:p>
    <w:p>
      <w:pPr>
        <w:spacing w:after="120"/>
      </w:pPr>
      <w:r>
        <w:t xml:space="preserve">9.1 Use las herramientas de IA solo a través de cuentas corporativas aprobadas, con autenticación multifactor cuando esté disponible. No instale extensiones, complementos o agentes de IA, ni conecte herramientas de IA al correo, los archivos o los sistemas de la empresa, salvo que estén aprobados.</w:t>
      </w:r>
    </w:p>
    <w:p>
      <w:pPr>
        <w:spacing w:after="120"/>
      </w:pPr>
      <w:r>
        <w:t xml:space="preserve">9.2 Esté atento a las estafas que usan IA, como correos de phishing muy convincentes o voces falsas (deepfakes) que piden pagos o accesos. Verifique cualquier petición inusual por un canal distinto y conocido.</w:t>
      </w:r>
    </w:p>
    <w:p>
      <w:pPr>
        <w:spacing w:after="120"/>
      </w:pPr>
      <w:r>
        <w:t xml:space="preserve">9.3 Trate el código, los enlaces y los archivos generados por IA como no fiables hasta comprobarlos. No ejecute código generado por IA en producción sin revisarlo y probarlo.</w:t>
      </w:r>
    </w:p>
    <w:p>
      <w:pPr>
        <w:pStyle w:val="Heading1"/>
      </w:pPr>
      <w:r>
        <w:t xml:space="preserve">10. Propiedad intelectual</w:t>
      </w:r>
    </w:p>
    <w:p>
      <w:pPr>
        <w:spacing w:after="120"/>
      </w:pPr>
      <w:r>
        <w:t xml:space="preserve">10.1 No introduzca en herramientas de IA contenidos que no tengamos derecho a usar de ese modo, como material de terceros con licencia o materiales de clientes cuando el contrato no lo permita.</w:t>
      </w:r>
    </w:p>
    <w:p>
      <w:pPr>
        <w:spacing w:after="120"/>
      </w:pPr>
      <w:r>
        <w:t xml:space="preserve">10.2 Los resultados de la IA pueden parecerse a obras protegidas por derechos de autor, a marcas o al trabajo de otras personas. Compruébelo antes de publicarlos o usarlos con fines comerciales, y no use la IA para imitar deliberadamente la obra o la marca de otros.</w:t>
      </w:r>
    </w:p>
    <w:p>
      <w:pPr>
        <w:spacing w:after="120"/>
      </w:pPr>
      <w:r>
        <w:t xml:space="preserve">10.3 Los contenidos generados principalmente por IA, sin una aportación creativa humana suficiente, pueden no estar protegidos por la propiedad intelectual. Mantenga a una persona implicada de forma real en la creación de los contenidos importantes, y revise en las condiciones del proveedor a quién pertenecen las entradas y los resultados.</w:t>
      </w:r>
    </w:p>
    <w:p>
      <w:pPr>
        <w:pStyle w:val="Heading1"/>
      </w:pPr>
      <w:r>
        <w:t xml:space="preserve">11. Sesgos y trato justo</w:t>
      </w:r>
    </w:p>
    <w:p>
      <w:pPr>
        <w:spacing w:after="120"/>
      </w:pPr>
      <w:r>
        <w:t xml:space="preserve">11.1 Las herramientas de IA pueden reflejar y amplificar los sesgos de los datos con los que se entrenaron. No debemos usar la IA de forma que discrimine injustamente a nadie, incluido por razón de edad, discapacidad, sexo, origen racial o étnico, religión, orientación sexual u otras causas protegidas por la ley.</w:t>
      </w:r>
    </w:p>
    <w:p>
      <w:pPr>
        <w:spacing w:after="120"/>
      </w:pPr>
      <w:r>
        <w:t xml:space="preserve">11.2 Antes de usar la IA en decisiones sobre personas, como la selección de personal, la evaluación del rendimiento, los precios o la admisibilidad, el responsable del sistema debe probarla con casos realistas para detectar resultados injustos, y seguir comprobándolo después de su puesta en marcha. En los sistemas de alto riesgo, en la medida en que controlemos los datos de entrada, nos aseguraremos de que sean pertinentes y suficientemente representativos. Las personas deben poder hablar con una persona si la IA no funciona bien en su caso.</w:t>
      </w:r>
    </w:p>
    <w:p>
      <w:pPr>
        <w:pStyle w:val="Heading1"/>
      </w:pPr>
      <w:r>
        <w:t xml:space="preserve">12. Documentación y registro de IA</w:t>
      </w:r>
    </w:p>
    <w:p>
      <w:pPr>
        <w:spacing w:after="120"/>
      </w:pPr>
      <w:r>
        <w:t xml:space="preserve">12.1 El responsable de IA mantiene un registro de todas las herramientas y usos de IA aprobados en </w:t>
      </w:r>
      <w:r>
        <w:rPr>
          <w:color w:val="2650C8"/>
          <w:highlight w:val="yellow"/>
        </w:rPr>
        <w:t xml:space="preserve">[ubicación]</w:t>
      </w:r>
      <w:r>
        <w:t xml:space="preserve">. Cada entrada recoge la herramienta y el proveedor, para qué se usa y quién la usa, el responsable del sistema, la clasificación según el Reglamento Europeo de IA (prohibido, alto riesgo, obligaciones de transparencia o riesgo mínimo), el nivel de riesgo interno y la fecha de aprobación, los datos que utiliza (incluidos los datos personales), si toma o fundamenta de forma significativa decisiones sobre personas, cómo la revisa y corrige una persona, y la fecha de la última revisión.</w:t>
      </w:r>
    </w:p>
    <w:p>
      <w:pPr>
        <w:spacing w:after="120"/>
      </w:pPr>
      <w:r>
        <w:t xml:space="preserve">12.2 Informe al responsable de IA si detecta un uso de IA que no figura en el registro, incluidas las funciones de IA del software existente.</w:t>
      </w:r>
    </w:p>
    <w:p>
      <w:pPr>
        <w:spacing w:after="120"/>
      </w:pPr>
      <w:r>
        <w:t xml:space="preserve">12.3 Conserve la documentación del trabajo asistido por IA conforme a nuestra </w:t>
      </w:r>
      <w:r>
        <w:rPr>
          <w:color w:val="2650C8"/>
          <w:highlight w:val="yellow"/>
        </w:rPr>
        <w:t xml:space="preserve">[Política de gestión documental]</w:t>
      </w:r>
      <w:r>
        <w:t xml:space="preserve">. En los usos de riesgo alto, conserve información suficiente para explicar cómo se tomó una decisión. En los sistemas de alto riesgo, conserve los registros que genere el sistema durante al menos seis meses, salvo que la ley exija otro plazo (artículo 26.6 del Reglamento Europeo de IA).</w:t>
      </w:r>
    </w:p>
    <w:p>
      <w:pPr>
        <w:pStyle w:val="Heading1"/>
      </w:pPr>
      <w:r>
        <w:t xml:space="preserve">13. Incidentes y comunicación</w:t>
      </w:r>
    </w:p>
    <w:p>
      <w:pPr>
        <w:spacing w:after="120"/>
      </w:pPr>
      <w:r>
        <w:t xml:space="preserve">13.1 Comunique cualquier incidente o casi incidente de IA a </w:t>
      </w:r>
      <w:r>
        <w:rPr>
          <w:color w:val="2650C8"/>
          <w:highlight w:val="yellow"/>
        </w:rPr>
        <w:t xml:space="preserve">[el responsable de IA / el servicio de atención de IT / dirección de correo electrónico]</w:t>
      </w:r>
      <w:r>
        <w:t xml:space="preserve"> en cuanto lo detecte. Por ejemplo: datos Rojos introducidos en una herramienta no aprobada, un resultado erróneo de la IA en el que se confió o que se envió a un cliente, un sistema de IA que realiza una acción que no debía, una reclamación sobre una decisión asistida por IA o una sospecha de estafa con IA.</w:t>
      </w:r>
    </w:p>
    <w:p>
      <w:pPr>
        <w:spacing w:after="120"/>
      </w:pPr>
      <w:r>
        <w:t xml:space="preserve">13.2 No se le sancionará por comunicar a tiempo un error cometido de buena fe. Ocultarlo es un incumplimiento de esta política.</w:t>
      </w:r>
    </w:p>
    <w:p>
      <w:pPr>
        <w:spacing w:after="120"/>
      </w:pPr>
      <w:r>
        <w:t xml:space="preserve">13.3 El responsable de IA registrará el incidente, pausará o revertirá el sistema si es necesario, comprobará con el delegado de protección de datos si constituye una violación de la seguridad de los datos personales que deba notificarse a la AEPD sin dilación indebida y, de ser posible, en un plazo de 72 horas (artículo 33 del RGPD), corregirá la causa y lo incluirá en el siguiente informe al consejo. Si el incidente afecta a un sistema de alto riesgo y es grave, se informará al proveedor y a la autoridad de vigilancia del mercado, y se suspenderá su uso cuando proceda (artículo 26.5 del Reglamento Europeo de IA). Los procesos críticos deben poder seguir funcionando sin la herramienta de IA.</w:t>
      </w:r>
    </w:p>
    <w:p>
      <w:pPr>
        <w:pStyle w:val="Heading1"/>
      </w:pPr>
      <w:r>
        <w:t xml:space="preserve">14. Formación y alfabetización en IA</w:t>
      </w:r>
    </w:p>
    <w:p>
      <w:pPr>
        <w:spacing w:after="120"/>
      </w:pPr>
      <w:r>
        <w:t xml:space="preserve">14.1 Todas las personas incluidas en esta política deben completar la formación en IA de </w:t>
      </w:r>
      <w:r>
        <w:rPr>
          <w:color w:val="2650C8"/>
          <w:highlight w:val="yellow"/>
        </w:rPr>
        <w:t xml:space="preserve">[Nombre de la empresa]</w:t>
      </w:r>
      <w:r>
        <w:t xml:space="preserve"> en un plazo de </w:t>
      </w:r>
      <w:r>
        <w:rPr>
          <w:color w:val="2650C8"/>
          <w:highlight w:val="yellow"/>
        </w:rPr>
        <w:t xml:space="preserve">[30]</w:t>
      </w:r>
      <w:r>
        <w:t xml:space="preserve"> días desde su incorporación, o desde la aprobación de esta política, y actualizarla </w:t>
      </w:r>
      <w:r>
        <w:rPr>
          <w:color w:val="2650C8"/>
          <w:highlight w:val="yellow"/>
        </w:rPr>
        <w:t xml:space="preserve">[anualmente]</w:t>
      </w:r>
      <w:r>
        <w:t xml:space="preserve">. La formación cubre esta política, las reglas sobre datos, los usos prohibidos, la revisión de los resultados de la IA, la comunicación de incidentes y el uso práctico de nuestras herramientas aprobadas. Es una de las medidas con las que cumplimos el deber de apoyar la alfabetización en IA de nuestro personal (artículo 4 del Reglamento Europeo de IA).</w:t>
      </w:r>
    </w:p>
    <w:p>
      <w:pPr>
        <w:spacing w:after="120"/>
      </w:pPr>
      <w:r>
        <w:t xml:space="preserve">14.2 Los responsables de sistema, los mandos y las personas que usan IA en trabajos de riesgo alto reciben formación adicional adaptada a su función. Los consejeros reciben una sesión sobre gobernanza de la IA al menos </w:t>
      </w:r>
      <w:r>
        <w:rPr>
          <w:color w:val="2650C8"/>
          <w:highlight w:val="yellow"/>
        </w:rPr>
        <w:t xml:space="preserve">[anualmente]</w:t>
      </w:r>
      <w:r>
        <w:t xml:space="preserve">. El responsable de IA conserva el registro de la formación impartida.</w:t>
      </w:r>
    </w:p>
    <w:p>
      <w:pPr>
        <w:pStyle w:val="Heading1"/>
      </w:pPr>
      <w:r>
        <w:t xml:space="preserve">15. Incumplimientos de esta política</w:t>
      </w:r>
    </w:p>
    <w:p>
      <w:pPr>
        <w:spacing w:after="120"/>
      </w:pPr>
      <w:r>
        <w:t xml:space="preserve">15.1 El incumplimiento de esta política puede dar lugar a medidas disciplinarias, incluido el despido o la terminación del contrato o de la colaboración, conforme al Estatuto de los Trabajadores, a nuestro </w:t>
      </w:r>
      <w:r>
        <w:rPr>
          <w:color w:val="2650C8"/>
          <w:highlight w:val="yellow"/>
        </w:rPr>
        <w:t xml:space="preserve">[convenio colectivo aplicable]</w:t>
      </w:r>
      <w:r>
        <w:t xml:space="preserve"> y a nuestro </w:t>
      </w:r>
      <w:r>
        <w:rPr>
          <w:color w:val="2650C8"/>
          <w:highlight w:val="yellow"/>
        </w:rPr>
        <w:t xml:space="preserve">[Código de conducta / régimen disciplinario]</w:t>
      </w:r>
      <w:r>
        <w:t xml:space="preserve">. La respuesta dependerá de si el incumplimiento fue deliberado, de si se comunicó a tiempo y del daño causado.</w:t>
      </w:r>
    </w:p>
    <w:p>
      <w:pPr>
        <w:spacing w:after="120"/>
      </w:pPr>
      <w:r>
        <w:t xml:space="preserve">15.2 Si observa algo que pueda incumplir esta política, coménteselo a su responsable o al responsable de IA, o utilice nuestro </w:t>
      </w:r>
      <w:r>
        <w:rPr>
          <w:color w:val="2650C8"/>
          <w:highlight w:val="yellow"/>
        </w:rPr>
        <w:t xml:space="preserve">[Sistema interno de información]</w:t>
      </w:r>
      <w:r>
        <w:t xml:space="preserve"> conforme a la Ley 2/2023, de protección de las personas que informen sobre infracciones normativas, cuando corresponda.</w:t>
      </w:r>
    </w:p>
    <w:p>
      <w:pPr>
        <w:pStyle w:val="Heading1"/>
      </w:pPr>
      <w:r>
        <w:t xml:space="preserve">16. Revisión</w:t>
      </w:r>
    </w:p>
    <w:p>
      <w:pPr>
        <w:spacing w:after="120"/>
      </w:pPr>
      <w:r>
        <w:t xml:space="preserve">16.1 El responsable de IA revisará esta política al menos cada </w:t>
      </w:r>
      <w:r>
        <w:rPr>
          <w:color w:val="2650C8"/>
          <w:highlight w:val="yellow"/>
        </w:rPr>
        <w:t xml:space="preserve">[12]</w:t>
      </w:r>
      <w:r>
        <w:t xml:space="preserve"> meses, y antes si adoptamos un tipo de uso de la IA significativamente nuevo (como agentes de IA o IA en decisiones sobre personas), si se produce un incidente de IA significativo o si cambian las leyes o las guías aplicables, incluida la futura ley española que adapte el Reglamento Europeo de IA.</w:t>
      </w:r>
    </w:p>
    <w:p>
      <w:pPr>
        <w:spacing w:after="120"/>
      </w:pPr>
      <w:r>
        <w:t xml:space="preserve">16.2 La lista de herramientas aprobadas y el registro de IA se actualizan a medida que se aprueban o retiran herramientas, sin necesidad de una revisión completa de la política. Los cambios en esta política los aprueba el responsable ejecutivo y se comunican al </w:t>
      </w:r>
      <w:r>
        <w:rPr>
          <w:color w:val="2650C8"/>
          <w:highlight w:val="yellow"/>
        </w:rPr>
        <w:t xml:space="preserve">[Consejo de administración / Comisión de Auditoría]</w:t>
      </w:r>
      <w:r>
        <w:t xml:space="preserve">.</w:t>
      </w:r>
    </w:p>
    <w:p>
      <w:pPr>
        <w:pStyle w:val="Heading1"/>
      </w:pPr>
      <w:r>
        <w:t xml:space="preserve">17. Consultas</w:t>
      </w:r>
    </w:p>
    <w:p>
      <w:pPr>
        <w:spacing w:after="120"/>
      </w:pPr>
      <w:r>
        <w:t xml:space="preserve">Las consultas sobre esta política se dirigen a </w:t>
      </w:r>
      <w:r>
        <w:rPr>
          <w:color w:val="2650C8"/>
          <w:highlight w:val="yellow"/>
        </w:rPr>
        <w:t xml:space="preserve">[nombre del responsable de IA]</w:t>
      </w:r>
      <w:r>
        <w:t xml:space="preserve">, </w:t>
      </w:r>
      <w:r>
        <w:rPr>
          <w:color w:val="2650C8"/>
          <w:highlight w:val="yellow"/>
        </w:rPr>
        <w:t xml:space="preserve">[dirección de correo electrónico]</w:t>
      </w:r>
      <w:r>
        <w:t xml:space="preserve">.</w:t>
      </w:r>
    </w:p>
    <w:p>
      <w:pPr>
        <w:pStyle w:val="Heading1"/>
      </w:pPr>
      <w:r>
        <w:t xml:space="preserve">Firmas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01"/>
        <w:gridCol w:w="1901"/>
        <w:gridCol w:w="1901"/>
        <w:gridCol w:w="1901"/>
        <w:gridCol w:w="1901"/>
      </w:tblGrid>
      <w:tr>
        <w:trPr>
          <w:tblHeader/>
        </w:trPr>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Nombre</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Cargo</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Firma</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Fecha</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Elaborada por (responsable de IA)</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[Nombre]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[Cargo]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[fecha]</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Aprobada por (responsable ejecutivo)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[Nombre]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[Cargo]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[fecha]</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Tomada en conocimiento por (presidente del consejo o de la comisión)</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[Nombre]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[Cargo]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[fecha]</w:t>
            </w:r>
          </w:p>
        </w:tc>
      </w:tr>
    </w:tbl>
    <w:p/>
    <w:p>
      <w:pPr>
        <w:pStyle w:val="Heading2"/>
      </w:pPr>
      <w:r>
        <w:t xml:space="preserve">Historial de versiones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77"/>
        <w:gridCol w:w="2377"/>
        <w:gridCol w:w="2377"/>
        <w:gridCol w:w="2377"/>
      </w:tblGrid>
      <w:tr>
        <w:trPr>
          <w:tblHeader/>
        </w:trPr>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Versión</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Fecha</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Resumen de cambios</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Aprobada por</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[1.0]</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[fecha]</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Primera versión</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[Nombre]</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r>
    </w:tbl>
    <w:p/>
    <w:p>
      <w:pPr>
        <w:pStyle w:val="Heading2"/>
      </w:pPr>
      <w:r>
        <w:t xml:space="preserve">Acuse de recibo</w:t>
      </w:r>
    </w:p>
    <w:p>
      <w:pPr>
        <w:spacing w:after="120"/>
      </w:pPr>
      <w:r>
        <w:t xml:space="preserve">He leído y comprendido la Política de uso de la inteligencia artificial de </w:t>
      </w:r>
      <w:r>
        <w:rPr>
          <w:color w:val="2650C8"/>
          <w:highlight w:val="yellow"/>
        </w:rPr>
        <w:t xml:space="preserve">[Nombre de la empresa]</w:t>
      </w:r>
      <w:r>
        <w:t xml:space="preserve"> y me comprometo a cumplirla.</w:t>
      </w:r>
    </w:p>
    <w:p>
      <w:pPr>
        <w:spacing w:after="120"/>
      </w:pPr>
      <w:r>
        <w:t xml:space="preserve">Nombre: </w:t>
      </w:r>
      <w:r>
        <w:rPr>
          <w:color w:val="2650C8"/>
          <w:highlight w:val="yellow"/>
        </w:rPr>
        <w:t xml:space="preserve">[Nombre]</w:t>
      </w:r>
    </w:p>
    <w:p>
      <w:pPr>
        <w:spacing w:after="120"/>
      </w:pPr>
      <w:r>
        <w:t xml:space="preserve">Puesto: </w:t>
      </w:r>
      <w:r>
        <w:rPr>
          <w:color w:val="2650C8"/>
          <w:highlight w:val="yellow"/>
        </w:rPr>
        <w:t xml:space="preserve">[Puesto]</w:t>
      </w:r>
    </w:p>
    <w:p>
      <w:pPr>
        <w:spacing w:after="120"/>
      </w:pPr>
      <w:r>
        <w:t xml:space="preserve">Firma: ____________________</w:t>
      </w:r>
    </w:p>
    <w:p>
      <w:pPr>
        <w:spacing w:after="120"/>
      </w:pPr>
      <w:r>
        <w:t xml:space="preserve">Fecha: </w:t>
      </w:r>
      <w:r>
        <w:rPr>
          <w:color w:val="2650C8"/>
          <w:highlight w:val="yellow"/>
        </w:rPr>
        <w:t xml:space="preserve">[fecha]</w:t>
      </w:r>
    </w:p>
    <w:sectPr>
      <w:footerReference w:type="default" r:id="rId6"/>
      <w:pgSz w:w="11906" w:h="16838" w:orient="portrait"/>
      <w:pgMar w:top="1200" w:right="1200" w:bottom="1200" w:left="12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Plantilla de samakbari.com · Información general, no asesoramiento jurídico · Página </w:t>
    </w:r>
    <w:r>
      <w:rPr>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0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pPr>
      <w:spacing w:after="240"/>
    </w:pPr>
    <w:rPr>
      <w:rFonts w:ascii="Calibri" w:cs="Calibri" w:eastAsia="Calibri" w:hAnsi="Calibri"/>
      <w:b/>
      <w:bCs/>
      <w:color w:val="0E1B2E"/>
      <w:sz w:val="44"/>
      <w:szCs w:val="44"/>
    </w:rPr>
  </w:style>
  <w:style w:type="paragraph" w:styleId="Heading1">
    <w:name w:val="Heading 1"/>
    <w:pPr>
      <w:spacing w:after="140" w:before="320"/>
    </w:pPr>
    <w:rPr>
      <w:rFonts w:ascii="Calibri" w:cs="Calibri" w:eastAsia="Calibri" w:hAnsi="Calibri"/>
      <w:b/>
      <w:bCs/>
      <w:color w:val="0E1B2E"/>
      <w:sz w:val="30"/>
      <w:szCs w:val="30"/>
    </w:rPr>
  </w:style>
  <w:style w:type="paragraph" w:styleId="Heading2">
    <w:name w:val="Heading 2"/>
    <w:pPr>
      <w:spacing w:after="100" w:before="220"/>
    </w:pPr>
    <w:rPr>
      <w:rFonts w:ascii="Calibri" w:cs="Calibri" w:eastAsia="Calibri" w:hAnsi="Calibri"/>
      <w:b/>
      <w:bCs/>
      <w:color w:val="0E1B2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política de uso de IA</dc:title>
  <dc:creator>Sam Akbari, samakbari.com</dc:creator>
  <cp:lastModifiedBy>Un-named</cp:lastModifiedBy>
  <cp:revision>1</cp:revision>
  <dcterms:created xsi:type="dcterms:W3CDTF">2026-10-21T06:22:02.380Z</dcterms:created>
  <dcterms:modified xsi:type="dcterms:W3CDTF">2026-10-21T06:22:02.380Z</dcterms:modified>
</cp:coreProperties>
</file>

<file path=docProps/custom.xml><?xml version="1.0" encoding="utf-8"?>
<Properties xmlns="http://schemas.openxmlformats.org/officeDocument/2006/custom-properties" xmlns:vt="http://schemas.openxmlformats.org/officeDocument/2006/docPropsVTypes"/>
</file>